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EECCC" w14:textId="31DEA5B1" w:rsidR="00CE577E" w:rsidRDefault="00CE577E" w:rsidP="00CE577E">
      <w:pPr>
        <w:pStyle w:val="Header"/>
        <w:tabs>
          <w:tab w:val="clear" w:pos="4153"/>
          <w:tab w:val="clear" w:pos="8306"/>
          <w:tab w:val="right" w:pos="9026"/>
        </w:tabs>
        <w:rPr>
          <w:b/>
          <w:color w:val="FF0000"/>
          <w:sz w:val="24"/>
        </w:rPr>
      </w:pPr>
      <w:bookmarkStart w:id="0" w:name="_Hlk512609091"/>
      <w:bookmarkStart w:id="1" w:name="_GoBack"/>
      <w:bookmarkEnd w:id="1"/>
      <w:r>
        <w:rPr>
          <w:b/>
          <w:sz w:val="24"/>
        </w:rPr>
        <w:t>3GPP TSG-RAN WG1 Meeting #100e</w:t>
      </w:r>
      <w:r>
        <w:rPr>
          <w:b/>
          <w:sz w:val="24"/>
        </w:rPr>
        <w:tab/>
        <w:t>R1-200</w:t>
      </w:r>
      <w:r w:rsidR="00BE2478">
        <w:rPr>
          <w:b/>
          <w:sz w:val="24"/>
        </w:rPr>
        <w:t>0496</w:t>
      </w:r>
    </w:p>
    <w:p w14:paraId="0F3F3F08" w14:textId="77777777" w:rsidR="00CE577E" w:rsidRDefault="00CE577E" w:rsidP="00CE577E">
      <w:pPr>
        <w:pStyle w:val="Header"/>
        <w:rPr>
          <w:b/>
          <w:sz w:val="24"/>
        </w:rPr>
      </w:pPr>
      <w:r>
        <w:rPr>
          <w:b/>
          <w:sz w:val="24"/>
        </w:rPr>
        <w:t>e-Meeting, February 24 – March 6, 2020</w:t>
      </w:r>
      <w:bookmarkEnd w:id="0"/>
    </w:p>
    <w:p w14:paraId="776F4C14" w14:textId="77777777" w:rsidR="00443FFF" w:rsidRDefault="00443FFF" w:rsidP="00443FFF"/>
    <w:p w14:paraId="03C6A536" w14:textId="12EEEDE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1DF9">
        <w:t>6</w:t>
      </w:r>
    </w:p>
    <w:p w14:paraId="06A83340" w14:textId="5AC989A9"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624E53" w:rsidRPr="008A670B">
        <w:rPr>
          <w:color w:val="000000" w:themeColor="text1"/>
        </w:rPr>
        <w:t>R</w:t>
      </w:r>
      <w:r w:rsidR="00E10019" w:rsidRPr="008A670B">
        <w:rPr>
          <w:color w:val="000000" w:themeColor="text1"/>
        </w:rPr>
        <w:t xml:space="preserve">emaining open issues </w:t>
      </w:r>
      <w:r w:rsidR="00624E53" w:rsidRPr="008A670B">
        <w:rPr>
          <w:color w:val="000000" w:themeColor="text1"/>
        </w:rPr>
        <w:t>on</w:t>
      </w:r>
      <w:r w:rsidR="00E10019" w:rsidRPr="008A670B">
        <w:rPr>
          <w:color w:val="000000" w:themeColor="text1"/>
        </w:rPr>
        <w:t xml:space="preserve"> channel occupancy ratio</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49798FD6" w:rsidR="00D562C7" w:rsidRPr="006A58CD" w:rsidRDefault="001A4177" w:rsidP="00740B19">
      <w:pPr>
        <w:pStyle w:val="BodyText"/>
        <w:spacing w:after="120"/>
        <w:rPr>
          <w:color w:val="000000" w:themeColor="text1"/>
          <w:sz w:val="20"/>
        </w:rPr>
      </w:pPr>
      <w:r w:rsidRPr="0011719E">
        <w:rPr>
          <w:color w:val="000000" w:themeColor="text1"/>
          <w:sz w:val="20"/>
          <w:szCs w:val="20"/>
        </w:rPr>
        <w:t>For</w:t>
      </w:r>
      <w:r w:rsidR="00867E6A" w:rsidRPr="0011719E">
        <w:rPr>
          <w:color w:val="000000" w:themeColor="text1"/>
          <w:sz w:val="20"/>
          <w:szCs w:val="20"/>
        </w:rPr>
        <w:t xml:space="preserve"> the approved </w:t>
      </w:r>
      <w:r w:rsidRPr="0011719E">
        <w:rPr>
          <w:color w:val="000000" w:themeColor="text1"/>
          <w:sz w:val="20"/>
          <w:szCs w:val="20"/>
        </w:rPr>
        <w:t xml:space="preserve">5G V2X </w:t>
      </w:r>
      <w:r w:rsidR="00867E6A" w:rsidRPr="0011719E">
        <w:rPr>
          <w:color w:val="000000" w:themeColor="text1"/>
          <w:sz w:val="20"/>
          <w:szCs w:val="20"/>
        </w:rPr>
        <w:t xml:space="preserve">work item </w:t>
      </w:r>
      <w:r w:rsidRPr="0011719E">
        <w:rPr>
          <w:color w:val="000000" w:themeColor="text1"/>
          <w:sz w:val="20"/>
          <w:szCs w:val="20"/>
        </w:rPr>
        <w:t xml:space="preserve">in </w:t>
      </w:r>
      <w:r w:rsidR="00867E6A" w:rsidRPr="0011719E">
        <w:rPr>
          <w:color w:val="000000" w:themeColor="text1"/>
          <w:sz w:val="20"/>
          <w:szCs w:val="20"/>
        </w:rPr>
        <w:t>[1]</w:t>
      </w:r>
      <w:r w:rsidRPr="0011719E">
        <w:rPr>
          <w:color w:val="000000" w:themeColor="text1"/>
          <w:sz w:val="20"/>
          <w:szCs w:val="20"/>
        </w:rPr>
        <w:t xml:space="preserve"> and later updated in [2]</w:t>
      </w:r>
      <w:r w:rsidR="00867E6A" w:rsidRPr="0011719E">
        <w:rPr>
          <w:color w:val="000000" w:themeColor="text1"/>
          <w:sz w:val="20"/>
          <w:szCs w:val="20"/>
        </w:rPr>
        <w:t xml:space="preserve">, </w:t>
      </w:r>
      <w:r w:rsidR="00740B19" w:rsidRPr="0011719E">
        <w:rPr>
          <w:color w:val="000000" w:themeColor="text1"/>
          <w:sz w:val="20"/>
          <w:szCs w:val="20"/>
        </w:rPr>
        <w:t>one of the objectives is about</w:t>
      </w:r>
      <w:r w:rsidR="00740B19" w:rsidRPr="00740B19">
        <w:rPr>
          <w:color w:val="000000" w:themeColor="text1"/>
          <w:sz w:val="20"/>
          <w:szCs w:val="20"/>
        </w:rPr>
        <w:t xml:space="preserve"> congestion control for NR-V2X. During RAN1#96bis</w:t>
      </w:r>
      <w:r w:rsidR="00005589">
        <w:rPr>
          <w:color w:val="000000" w:themeColor="text1"/>
          <w:sz w:val="20"/>
          <w:szCs w:val="20"/>
        </w:rPr>
        <w:t>,</w:t>
      </w:r>
      <w:r w:rsidR="00740B19" w:rsidRPr="00740B19">
        <w:rPr>
          <w:color w:val="000000" w:themeColor="text1"/>
          <w:sz w:val="20"/>
          <w:szCs w:val="20"/>
        </w:rPr>
        <w:t xml:space="preserve"> </w:t>
      </w:r>
      <w:r w:rsidR="0011719E">
        <w:rPr>
          <w:color w:val="000000" w:themeColor="text1"/>
          <w:sz w:val="20"/>
          <w:szCs w:val="20"/>
        </w:rPr>
        <w:t>#97</w:t>
      </w:r>
      <w:r w:rsidR="00132CA4">
        <w:rPr>
          <w:color w:val="000000" w:themeColor="text1"/>
          <w:sz w:val="20"/>
          <w:szCs w:val="20"/>
        </w:rPr>
        <w:t>,</w:t>
      </w:r>
      <w:r w:rsidR="00005589">
        <w:rPr>
          <w:color w:val="000000" w:themeColor="text1"/>
          <w:sz w:val="20"/>
          <w:szCs w:val="20"/>
        </w:rPr>
        <w:t xml:space="preserve"> #98</w:t>
      </w:r>
      <w:r w:rsidR="00D562C7">
        <w:rPr>
          <w:color w:val="000000" w:themeColor="text1"/>
          <w:sz w:val="20"/>
          <w:szCs w:val="20"/>
        </w:rPr>
        <w:t>,</w:t>
      </w:r>
      <w:r w:rsidR="00132CA4">
        <w:rPr>
          <w:color w:val="000000" w:themeColor="text1"/>
          <w:sz w:val="20"/>
          <w:szCs w:val="20"/>
        </w:rPr>
        <w:t xml:space="preserve"> #98bis</w:t>
      </w:r>
      <w:r w:rsidR="00D562C7">
        <w:rPr>
          <w:color w:val="000000" w:themeColor="text1"/>
          <w:sz w:val="20"/>
          <w:szCs w:val="20"/>
        </w:rPr>
        <w:t xml:space="preserve"> and #99</w:t>
      </w:r>
      <w:r w:rsidR="0011719E">
        <w:rPr>
          <w:color w:val="000000" w:themeColor="text1"/>
          <w:sz w:val="20"/>
          <w:szCs w:val="20"/>
        </w:rPr>
        <w:t xml:space="preserve"> </w:t>
      </w:r>
      <w:r w:rsidR="00740B19" w:rsidRPr="00740B19">
        <w:rPr>
          <w:color w:val="000000" w:themeColor="text1"/>
          <w:sz w:val="20"/>
          <w:szCs w:val="20"/>
        </w:rPr>
        <w:t>meeting discussions, the following agreement</w:t>
      </w:r>
      <w:r w:rsidR="0011719E">
        <w:rPr>
          <w:color w:val="000000" w:themeColor="text1"/>
          <w:sz w:val="20"/>
          <w:szCs w:val="20"/>
        </w:rPr>
        <w:t>s</w:t>
      </w:r>
      <w:r w:rsidR="00740B19" w:rsidRPr="00740B19">
        <w:rPr>
          <w:color w:val="000000" w:themeColor="text1"/>
          <w:sz w:val="20"/>
          <w:szCs w:val="20"/>
        </w:rPr>
        <w:t xml:space="preserve"> on congestion control </w:t>
      </w:r>
      <w:r w:rsidR="0011719E">
        <w:rPr>
          <w:color w:val="000000" w:themeColor="text1"/>
          <w:sz w:val="20"/>
          <w:szCs w:val="20"/>
        </w:rPr>
        <w:t>were</w:t>
      </w:r>
      <w:r w:rsidR="00740B19" w:rsidRPr="00740B19">
        <w:rPr>
          <w:color w:val="000000" w:themeColor="text1"/>
          <w:sz w:val="20"/>
          <w:szCs w:val="20"/>
        </w:rPr>
        <w:t xml:space="preserve"> reached</w:t>
      </w:r>
      <w:r w:rsidR="00F12B44">
        <w:rPr>
          <w:color w:val="000000" w:themeColor="text1"/>
          <w:sz w:val="20"/>
          <w:szCs w:val="20"/>
        </w:rPr>
        <w:t>, in which</w:t>
      </w:r>
      <w:r w:rsidR="00740B19">
        <w:rPr>
          <w:color w:val="000000" w:themeColor="text1"/>
          <w:sz w:val="20"/>
          <w:szCs w:val="20"/>
        </w:rPr>
        <w:t xml:space="preserve"> </w:t>
      </w:r>
      <w:r w:rsidR="00F12B44" w:rsidRPr="00F12B44">
        <w:rPr>
          <w:color w:val="000000" w:themeColor="text1"/>
          <w:sz w:val="20"/>
          <w:szCs w:val="20"/>
        </w:rPr>
        <w:t>it is</w:t>
      </w:r>
      <w:r w:rsidR="00740B19" w:rsidRPr="00F12B44">
        <w:rPr>
          <w:color w:val="000000" w:themeColor="text1"/>
          <w:sz w:val="20"/>
          <w:szCs w:val="20"/>
        </w:rPr>
        <w:t xml:space="preserve"> clear </w:t>
      </w:r>
      <w:r w:rsidR="00F12B44" w:rsidRPr="00F12B44">
        <w:rPr>
          <w:color w:val="000000" w:themeColor="text1"/>
          <w:sz w:val="20"/>
          <w:szCs w:val="20"/>
        </w:rPr>
        <w:t>that</w:t>
      </w:r>
      <w:r w:rsidR="00740B19" w:rsidRPr="00F12B44">
        <w:rPr>
          <w:color w:val="000000" w:themeColor="text1"/>
          <w:sz w:val="20"/>
          <w:szCs w:val="20"/>
        </w:rPr>
        <w:t xml:space="preserve"> LTE V2X sidelink congestion control </w:t>
      </w:r>
      <w:r w:rsidR="00F12B44" w:rsidRPr="00F12B44">
        <w:rPr>
          <w:color w:val="000000" w:themeColor="text1"/>
          <w:sz w:val="20"/>
          <w:szCs w:val="20"/>
        </w:rPr>
        <w:t>is the</w:t>
      </w:r>
      <w:r w:rsidR="00740B19" w:rsidRPr="00F12B44">
        <w:rPr>
          <w:color w:val="000000" w:themeColor="text1"/>
          <w:sz w:val="20"/>
          <w:szCs w:val="20"/>
        </w:rPr>
        <w:t xml:space="preserve"> starting point for defining NR sidelink congestion control.</w:t>
      </w:r>
      <w:r w:rsidR="00F12B44">
        <w:rPr>
          <w:color w:val="000000" w:themeColor="text1"/>
          <w:sz w:val="20"/>
          <w:szCs w:val="20"/>
        </w:rPr>
        <w:t xml:space="preserve"> </w:t>
      </w:r>
      <w:r w:rsidR="00F12B44" w:rsidRPr="005B4285">
        <w:rPr>
          <w:color w:val="000000" w:themeColor="text1"/>
          <w:sz w:val="20"/>
        </w:rPr>
        <w:t>In this contribution, we provide discussions and views on remaining issues and additional congestion control metric(s) that would be needed for NR sidelink operation.</w:t>
      </w:r>
    </w:p>
    <w:tbl>
      <w:tblPr>
        <w:tblStyle w:val="TableGrid"/>
        <w:tblW w:w="0" w:type="auto"/>
        <w:tblLook w:val="04A0" w:firstRow="1" w:lastRow="0" w:firstColumn="1" w:lastColumn="0" w:noHBand="0" w:noVBand="1"/>
      </w:tblPr>
      <w:tblGrid>
        <w:gridCol w:w="9016"/>
      </w:tblGrid>
      <w:tr w:rsidR="002F480D" w14:paraId="66104024" w14:textId="77777777" w:rsidTr="007A225B">
        <w:tc>
          <w:tcPr>
            <w:tcW w:w="9016" w:type="dxa"/>
          </w:tcPr>
          <w:p w14:paraId="49E2FF19" w14:textId="77777777" w:rsidR="00740B19" w:rsidRPr="0011719E" w:rsidRDefault="00740B19" w:rsidP="0011719E">
            <w:pPr>
              <w:spacing w:before="120"/>
              <w:rPr>
                <w:rFonts w:ascii="Times New Roman" w:hAnsi="Times New Roman" w:cs="Times New Roman"/>
                <w:szCs w:val="20"/>
              </w:rPr>
            </w:pPr>
            <w:r w:rsidRPr="0011719E">
              <w:rPr>
                <w:rFonts w:ascii="Times New Roman" w:hAnsi="Times New Roman" w:cs="Times New Roman"/>
                <w:b/>
                <w:szCs w:val="20"/>
                <w:highlight w:val="green"/>
              </w:rPr>
              <w:t>Agreements</w:t>
            </w:r>
            <w:r w:rsidRPr="0011719E">
              <w:rPr>
                <w:rFonts w:ascii="Times New Roman" w:hAnsi="Times New Roman" w:cs="Times New Roman"/>
                <w:szCs w:val="20"/>
              </w:rPr>
              <w:t>:</w:t>
            </w:r>
          </w:p>
          <w:p w14:paraId="24613149" w14:textId="77777777" w:rsidR="00740B19" w:rsidRPr="0011719E" w:rsidRDefault="00740B19" w:rsidP="00740B19">
            <w:pPr>
              <w:rPr>
                <w:rFonts w:ascii="Times New Roman" w:hAnsi="Times New Roman" w:cs="Times New Roman"/>
                <w:szCs w:val="20"/>
                <w:lang w:val="en-US"/>
              </w:rPr>
            </w:pPr>
            <w:r w:rsidRPr="0011719E">
              <w:rPr>
                <w:rFonts w:ascii="Times New Roman" w:hAnsi="Times New Roman" w:cs="Times New Roman"/>
                <w:szCs w:val="20"/>
                <w:lang w:val="en-US"/>
              </w:rPr>
              <w:t xml:space="preserve">Support at least NR CBR as congestion metric for NR sidelink congestion control. </w:t>
            </w:r>
          </w:p>
          <w:p w14:paraId="383173DB" w14:textId="77777777" w:rsidR="002F480D" w:rsidRPr="0011719E" w:rsidRDefault="00740B19" w:rsidP="00740B19">
            <w:pPr>
              <w:numPr>
                <w:ilvl w:val="0"/>
                <w:numId w:val="28"/>
              </w:numPr>
              <w:spacing w:after="60"/>
              <w:jc w:val="left"/>
              <w:rPr>
                <w:rFonts w:ascii="Times New Roman" w:hAnsi="Times New Roman" w:cs="Times New Roman"/>
                <w:szCs w:val="20"/>
                <w:lang w:val="en-US"/>
              </w:rPr>
            </w:pPr>
            <w:r w:rsidRPr="0011719E">
              <w:rPr>
                <w:rFonts w:ascii="Times New Roman" w:hAnsi="Times New Roman" w:cs="Times New Roman"/>
                <w:szCs w:val="20"/>
                <w:lang w:val="en-US"/>
              </w:rPr>
              <w:t>LTE CBR is the baseline for defining NR CBR.</w:t>
            </w:r>
          </w:p>
          <w:p w14:paraId="6871BAE6" w14:textId="77777777" w:rsidR="0011719E" w:rsidRPr="0011719E" w:rsidRDefault="0011719E" w:rsidP="0011719E">
            <w:pPr>
              <w:rPr>
                <w:rFonts w:ascii="Times New Roman" w:hAnsi="Times New Roman" w:cs="Times New Roman"/>
                <w:szCs w:val="20"/>
              </w:rPr>
            </w:pPr>
            <w:r w:rsidRPr="0011719E">
              <w:rPr>
                <w:rFonts w:ascii="Times New Roman" w:hAnsi="Times New Roman" w:cs="Times New Roman"/>
                <w:b/>
                <w:bCs/>
                <w:szCs w:val="20"/>
                <w:highlight w:val="green"/>
              </w:rPr>
              <w:t>Agreements</w:t>
            </w:r>
            <w:r w:rsidRPr="0011719E">
              <w:rPr>
                <w:rFonts w:ascii="Times New Roman" w:hAnsi="Times New Roman" w:cs="Times New Roman"/>
                <w:szCs w:val="20"/>
              </w:rPr>
              <w:t>:</w:t>
            </w:r>
          </w:p>
          <w:p w14:paraId="6E1BFA3F" w14:textId="77777777" w:rsidR="0011719E" w:rsidRPr="0011719E" w:rsidRDefault="0011719E" w:rsidP="0011719E">
            <w:pPr>
              <w:numPr>
                <w:ilvl w:val="0"/>
                <w:numId w:val="29"/>
              </w:numPr>
              <w:jc w:val="left"/>
              <w:rPr>
                <w:rFonts w:ascii="Times New Roman" w:hAnsi="Times New Roman" w:cs="Times New Roman"/>
                <w:szCs w:val="20"/>
                <w:lang w:val="en-US"/>
              </w:rPr>
            </w:pPr>
            <w:r w:rsidRPr="0011719E">
              <w:rPr>
                <w:rFonts w:ascii="Times New Roman" w:hAnsi="Times New Roman" w:cs="Times New Roman"/>
                <w:szCs w:val="20"/>
                <w:lang w:val="en-US"/>
              </w:rPr>
              <w:t>LTE V2X sidelink congestion control is the starting point for defining NR sidelink congestion control.</w:t>
            </w:r>
          </w:p>
          <w:p w14:paraId="40F3AC2D" w14:textId="77777777" w:rsidR="0011719E" w:rsidRPr="0011719E" w:rsidRDefault="0011719E" w:rsidP="0011719E">
            <w:pPr>
              <w:rPr>
                <w:rFonts w:ascii="Times New Roman" w:hAnsi="Times New Roman" w:cs="Times New Roman"/>
                <w:szCs w:val="20"/>
                <w:lang w:val="en-US"/>
              </w:rPr>
            </w:pPr>
            <w:r w:rsidRPr="0011719E">
              <w:rPr>
                <w:rFonts w:ascii="Times New Roman" w:hAnsi="Times New Roman" w:cs="Times New Roman"/>
                <w:b/>
                <w:bCs/>
                <w:szCs w:val="20"/>
                <w:highlight w:val="green"/>
                <w:lang w:val="en-US"/>
              </w:rPr>
              <w:t>Agreements</w:t>
            </w:r>
            <w:r w:rsidRPr="0011719E">
              <w:rPr>
                <w:rFonts w:ascii="Times New Roman" w:hAnsi="Times New Roman" w:cs="Times New Roman"/>
                <w:szCs w:val="20"/>
                <w:lang w:val="en-US"/>
              </w:rPr>
              <w:t>:</w:t>
            </w:r>
          </w:p>
          <w:p w14:paraId="043AFBEF" w14:textId="77777777" w:rsidR="0011719E" w:rsidRDefault="0011719E" w:rsidP="0011719E">
            <w:pPr>
              <w:numPr>
                <w:ilvl w:val="0"/>
                <w:numId w:val="29"/>
              </w:numPr>
              <w:spacing w:after="120"/>
              <w:jc w:val="left"/>
              <w:rPr>
                <w:rFonts w:ascii="Times New Roman" w:hAnsi="Times New Roman" w:cs="Times New Roman"/>
                <w:szCs w:val="20"/>
                <w:lang w:val="en-US"/>
              </w:rPr>
            </w:pPr>
            <w:r w:rsidRPr="0011719E">
              <w:rPr>
                <w:rFonts w:ascii="Times New Roman" w:hAnsi="Times New Roman" w:cs="Times New Roman"/>
                <w:szCs w:val="20"/>
                <w:lang w:val="en-US"/>
              </w:rPr>
              <w:t>Higher-layer reporting of CBR to the gNB is supported for RRC_CONNECTED UEs.</w:t>
            </w:r>
          </w:p>
          <w:p w14:paraId="75034B74" w14:textId="77777777" w:rsidR="00005589" w:rsidRPr="00007C34" w:rsidRDefault="00005589" w:rsidP="00005589">
            <w:pPr>
              <w:rPr>
                <w:szCs w:val="20"/>
                <w:lang w:eastAsia="x-none"/>
              </w:rPr>
            </w:pPr>
            <w:r w:rsidRPr="00005589">
              <w:rPr>
                <w:rFonts w:ascii="Times New Roman" w:hAnsi="Times New Roman" w:cs="Times New Roman"/>
                <w:b/>
                <w:bCs/>
                <w:szCs w:val="20"/>
                <w:highlight w:val="green"/>
                <w:lang w:eastAsia="x-none"/>
              </w:rPr>
              <w:t>Agreements</w:t>
            </w:r>
            <w:r w:rsidRPr="00007C34">
              <w:rPr>
                <w:szCs w:val="20"/>
                <w:lang w:eastAsia="x-none"/>
              </w:rPr>
              <w:t>:</w:t>
            </w:r>
          </w:p>
          <w:p w14:paraId="1A729E33" w14:textId="77777777" w:rsidR="00005589" w:rsidRPr="00005589" w:rsidRDefault="00005589" w:rsidP="00005589">
            <w:pPr>
              <w:numPr>
                <w:ilvl w:val="0"/>
                <w:numId w:val="30"/>
              </w:numPr>
              <w:jc w:val="left"/>
              <w:rPr>
                <w:rFonts w:ascii="Times New Roman" w:hAnsi="Times New Roman" w:cs="Times New Roman"/>
                <w:bCs/>
                <w:szCs w:val="20"/>
                <w:lang w:val="en-US"/>
              </w:rPr>
            </w:pPr>
            <w:r w:rsidRPr="00005589">
              <w:rPr>
                <w:rFonts w:ascii="Times New Roman" w:hAnsi="Times New Roman" w:cs="Times New Roman"/>
                <w:bCs/>
                <w:szCs w:val="20"/>
                <w:lang w:val="en-US"/>
              </w:rPr>
              <w:t xml:space="preserve">For PSCCH/PSSCH multiplexing option 3, one CBR measurement over a resource pool is defined. </w:t>
            </w:r>
          </w:p>
          <w:p w14:paraId="0A22EF21" w14:textId="77777777" w:rsidR="00005589" w:rsidRPr="00132CA4" w:rsidRDefault="00005589" w:rsidP="00005589">
            <w:pPr>
              <w:numPr>
                <w:ilvl w:val="1"/>
                <w:numId w:val="30"/>
              </w:numPr>
              <w:spacing w:after="120"/>
              <w:jc w:val="left"/>
              <w:rPr>
                <w:bCs/>
                <w:szCs w:val="20"/>
                <w:lang w:val="en-US"/>
              </w:rPr>
            </w:pPr>
            <w:r w:rsidRPr="00005589">
              <w:rPr>
                <w:rFonts w:ascii="Times New Roman" w:hAnsi="Times New Roman" w:cs="Times New Roman"/>
                <w:bCs/>
                <w:szCs w:val="20"/>
                <w:lang w:val="en-US"/>
              </w:rPr>
              <w:t>PSFCH resources, if (pre)configured, are excluded from this CBR measurement.</w:t>
            </w:r>
          </w:p>
          <w:p w14:paraId="43114450" w14:textId="77777777" w:rsidR="00132CA4" w:rsidRPr="00132CA4" w:rsidRDefault="00132CA4" w:rsidP="00132CA4">
            <w:pPr>
              <w:rPr>
                <w:rFonts w:ascii="Times New Roman" w:hAnsi="Times New Roman" w:cs="Times New Roman"/>
              </w:rPr>
            </w:pPr>
            <w:r w:rsidRPr="00132CA4">
              <w:rPr>
                <w:rFonts w:ascii="Times New Roman" w:hAnsi="Times New Roman" w:cs="Times New Roman"/>
                <w:b/>
                <w:bCs/>
                <w:highlight w:val="green"/>
              </w:rPr>
              <w:t>Agreements</w:t>
            </w:r>
            <w:r w:rsidRPr="00132CA4">
              <w:rPr>
                <w:rFonts w:ascii="Times New Roman" w:hAnsi="Times New Roman" w:cs="Times New Roman"/>
              </w:rPr>
              <w:t>:</w:t>
            </w:r>
          </w:p>
          <w:p w14:paraId="08768895"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lang w:val="en-US"/>
              </w:rPr>
              <w:t>Define NR sidelink Channel Occupancy Ratio (CR) measurement.</w:t>
            </w:r>
          </w:p>
          <w:p w14:paraId="46627599" w14:textId="77E529BD" w:rsidR="00132CA4" w:rsidRPr="00132CA4" w:rsidRDefault="00132CA4" w:rsidP="00132CA4">
            <w:pPr>
              <w:pStyle w:val="ListParagraph"/>
              <w:numPr>
                <w:ilvl w:val="0"/>
                <w:numId w:val="32"/>
              </w:numPr>
              <w:spacing w:after="120"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LTE CR is the baseline</w:t>
            </w:r>
          </w:p>
          <w:p w14:paraId="0729B3D4" w14:textId="77777777" w:rsidR="00132CA4" w:rsidRPr="00132CA4" w:rsidRDefault="00132CA4" w:rsidP="00132CA4">
            <w:pPr>
              <w:rPr>
                <w:rFonts w:ascii="Times New Roman" w:hAnsi="Times New Roman" w:cs="Times New Roman"/>
              </w:rPr>
            </w:pPr>
            <w:r w:rsidRPr="00132CA4">
              <w:rPr>
                <w:rFonts w:ascii="Times New Roman" w:hAnsi="Times New Roman" w:cs="Times New Roman"/>
                <w:b/>
                <w:bCs/>
                <w:highlight w:val="green"/>
              </w:rPr>
              <w:t>Agreements</w:t>
            </w:r>
            <w:r w:rsidRPr="00132CA4">
              <w:rPr>
                <w:rFonts w:ascii="Times New Roman" w:hAnsi="Times New Roman" w:cs="Times New Roman"/>
              </w:rPr>
              <w:t>:</w:t>
            </w:r>
          </w:p>
          <w:p w14:paraId="65E491D9" w14:textId="77777777" w:rsidR="00132CA4" w:rsidRPr="00132CA4" w:rsidRDefault="00132CA4" w:rsidP="00132CA4">
            <w:pPr>
              <w:numPr>
                <w:ilvl w:val="0"/>
                <w:numId w:val="31"/>
              </w:numPr>
              <w:jc w:val="left"/>
              <w:rPr>
                <w:rFonts w:ascii="Times New Roman" w:hAnsi="Times New Roman" w:cs="Times New Roman"/>
                <w:lang w:val="en-US"/>
              </w:rPr>
            </w:pPr>
            <w:r w:rsidRPr="00132CA4">
              <w:rPr>
                <w:rFonts w:ascii="Times New Roman" w:hAnsi="Times New Roman" w:cs="Times New Roman"/>
                <w:lang w:val="en-US"/>
              </w:rPr>
              <w:t>Congestion control can restrict the values of at least the following PSSCH/PSCCH TX parameters per resource pool:</w:t>
            </w:r>
          </w:p>
          <w:p w14:paraId="0CBC16C4"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Range of MCS for a given MCS table supported within the resource pool</w:t>
            </w:r>
          </w:p>
          <w:p w14:paraId="26C20405"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Range of number of sub-channels</w:t>
            </w:r>
          </w:p>
          <w:p w14:paraId="7C20EABC"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Upper bound of number of (re)transmissions – already agreed in mode 2 AI</w:t>
            </w:r>
          </w:p>
          <w:p w14:paraId="15DA33F9"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Upper bound of TX power (including zero TX power)</w:t>
            </w:r>
          </w:p>
          <w:p w14:paraId="6F088CBA" w14:textId="77777777" w:rsidR="00132CA4" w:rsidRPr="00132CA4" w:rsidRDefault="00132CA4" w:rsidP="00132CA4">
            <w:pPr>
              <w:numPr>
                <w:ilvl w:val="0"/>
                <w:numId w:val="31"/>
              </w:numPr>
              <w:jc w:val="left"/>
              <w:rPr>
                <w:rFonts w:ascii="Times New Roman" w:hAnsi="Times New Roman" w:cs="Times New Roman"/>
                <w:lang w:val="en-US"/>
              </w:rPr>
            </w:pPr>
            <w:r w:rsidRPr="00132CA4">
              <w:rPr>
                <w:rFonts w:ascii="Times New Roman" w:hAnsi="Times New Roman" w:cs="Times New Roman"/>
                <w:lang w:val="en-US"/>
              </w:rPr>
              <w:t xml:space="preserve">Congestion control can set an upper bound on channel occupancy ratio (CR), </w:t>
            </w:r>
            <w:proofErr w:type="spellStart"/>
            <w:r w:rsidRPr="00132CA4">
              <w:rPr>
                <w:rFonts w:ascii="Times New Roman" w:hAnsi="Times New Roman" w:cs="Times New Roman"/>
                <w:lang w:val="en-US"/>
              </w:rPr>
              <w:t>CR</w:t>
            </w:r>
            <w:r w:rsidRPr="00132CA4">
              <w:rPr>
                <w:rFonts w:ascii="Times New Roman" w:hAnsi="Times New Roman" w:cs="Times New Roman"/>
                <w:vertAlign w:val="subscript"/>
                <w:lang w:val="en-US"/>
              </w:rPr>
              <w:t>limit</w:t>
            </w:r>
            <w:proofErr w:type="spellEnd"/>
            <w:r w:rsidRPr="00132CA4">
              <w:rPr>
                <w:rFonts w:ascii="Times New Roman" w:hAnsi="Times New Roman" w:cs="Times New Roman"/>
                <w:lang w:val="en-US"/>
              </w:rPr>
              <w:t>.</w:t>
            </w:r>
          </w:p>
          <w:p w14:paraId="360BC165" w14:textId="77777777" w:rsidR="00132CA4" w:rsidRPr="00132CA4" w:rsidRDefault="00132CA4" w:rsidP="00132CA4">
            <w:pPr>
              <w:numPr>
                <w:ilvl w:val="0"/>
                <w:numId w:val="31"/>
              </w:numPr>
              <w:jc w:val="left"/>
              <w:rPr>
                <w:rFonts w:ascii="Times New Roman" w:hAnsi="Times New Roman" w:cs="Times New Roman"/>
                <w:lang w:val="en-US" w:eastAsia="ko-KR"/>
              </w:rPr>
            </w:pPr>
            <w:r w:rsidRPr="00132CA4">
              <w:rPr>
                <w:rFonts w:ascii="Times New Roman" w:hAnsi="Times New Roman" w:cs="Times New Roman"/>
                <w:lang w:val="en-US" w:eastAsia="ko-KR"/>
              </w:rPr>
              <w:t xml:space="preserve">Ranges/bounds of the transmission parameters and </w:t>
            </w:r>
            <w:proofErr w:type="spellStart"/>
            <w:r w:rsidRPr="00132CA4">
              <w:rPr>
                <w:rFonts w:ascii="Times New Roman" w:hAnsi="Times New Roman" w:cs="Times New Roman"/>
                <w:lang w:val="en-US"/>
              </w:rPr>
              <w:t>CR</w:t>
            </w:r>
            <w:r w:rsidRPr="00132CA4">
              <w:rPr>
                <w:rFonts w:ascii="Times New Roman" w:hAnsi="Times New Roman" w:cs="Times New Roman"/>
                <w:vertAlign w:val="subscript"/>
                <w:lang w:val="en-US"/>
              </w:rPr>
              <w:t>limit</w:t>
            </w:r>
            <w:proofErr w:type="spellEnd"/>
            <w:r w:rsidRPr="00132CA4">
              <w:rPr>
                <w:rFonts w:ascii="Times New Roman" w:hAnsi="Times New Roman" w:cs="Times New Roman"/>
                <w:lang w:val="en-US" w:eastAsia="ko-KR"/>
              </w:rPr>
              <w:t xml:space="preserve"> are functions of QoS and CBR.</w:t>
            </w:r>
          </w:p>
          <w:p w14:paraId="7C07030C" w14:textId="77777777" w:rsidR="00132CA4" w:rsidRPr="00132CA4" w:rsidRDefault="00132CA4" w:rsidP="00132CA4">
            <w:pPr>
              <w:numPr>
                <w:ilvl w:val="0"/>
                <w:numId w:val="31"/>
              </w:numPr>
              <w:jc w:val="left"/>
              <w:rPr>
                <w:rFonts w:ascii="Times New Roman" w:hAnsi="Times New Roman" w:cs="Times New Roman"/>
                <w:lang w:val="en-US"/>
              </w:rPr>
            </w:pPr>
            <w:r w:rsidRPr="00132CA4">
              <w:rPr>
                <w:rFonts w:ascii="Times New Roman" w:hAnsi="Times New Roman" w:cs="Times New Roman"/>
                <w:lang w:val="en-US"/>
              </w:rPr>
              <w:t>In addition to congestion control (in use or not in use), the above parameters can be restricted by reusing the same mechanism as in LTE</w:t>
            </w:r>
          </w:p>
          <w:p w14:paraId="340CEEE0" w14:textId="77777777" w:rsidR="00132CA4" w:rsidRPr="00132CA4" w:rsidRDefault="00132CA4" w:rsidP="00132CA4">
            <w:pPr>
              <w:numPr>
                <w:ilvl w:val="1"/>
                <w:numId w:val="31"/>
              </w:numPr>
              <w:jc w:val="left"/>
              <w:rPr>
                <w:rFonts w:ascii="Times New Roman" w:hAnsi="Times New Roman" w:cs="Times New Roman"/>
                <w:lang w:val="en-US"/>
              </w:rPr>
            </w:pPr>
            <w:r w:rsidRPr="00132CA4">
              <w:rPr>
                <w:rFonts w:ascii="Times New Roman" w:hAnsi="Times New Roman" w:cs="Times New Roman"/>
                <w:lang w:val="en-US"/>
              </w:rPr>
              <w:t>For speed, further discussion on absolute vs. relative speed</w:t>
            </w:r>
          </w:p>
          <w:p w14:paraId="6F34E99A"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 xml:space="preserve">FFS other parameter(s) that can be restricted </w:t>
            </w:r>
          </w:p>
          <w:p w14:paraId="5BF2BE2B" w14:textId="77777777" w:rsidR="00132CA4" w:rsidRPr="00132CA4" w:rsidRDefault="00132CA4" w:rsidP="00132CA4">
            <w:pPr>
              <w:pStyle w:val="ListParagraph"/>
              <w:numPr>
                <w:ilvl w:val="1"/>
                <w:numId w:val="31"/>
              </w:numPr>
              <w:spacing w:after="120"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FFS whether or not to tie the speed with a UE capability</w:t>
            </w:r>
          </w:p>
          <w:p w14:paraId="77E6701F"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b/>
                <w:bCs/>
                <w:highlight w:val="green"/>
                <w:lang w:val="en-US"/>
              </w:rPr>
              <w:t>Agreements</w:t>
            </w:r>
            <w:r w:rsidRPr="00132CA4">
              <w:rPr>
                <w:rFonts w:ascii="Times New Roman" w:hAnsi="Times New Roman" w:cs="Times New Roman"/>
                <w:lang w:val="en-US"/>
              </w:rPr>
              <w:t>:</w:t>
            </w:r>
          </w:p>
          <w:p w14:paraId="5E685AB5" w14:textId="77777777" w:rsidR="00132CA4" w:rsidRPr="00132CA4" w:rsidRDefault="00132CA4" w:rsidP="00132CA4">
            <w:pPr>
              <w:rPr>
                <w:rFonts w:ascii="Times New Roman" w:hAnsi="Times New Roman" w:cs="Times New Roman"/>
                <w:lang w:val="en-US" w:eastAsia="ko-KR"/>
              </w:rPr>
            </w:pPr>
            <w:r w:rsidRPr="00132CA4">
              <w:rPr>
                <w:rFonts w:ascii="Times New Roman" w:hAnsi="Times New Roman" w:cs="Times New Roman"/>
                <w:lang w:val="en-US" w:eastAsia="ko-KR"/>
              </w:rPr>
              <w:t xml:space="preserve">Lookup table links CBR range with values of the transmission parameters and </w:t>
            </w:r>
            <w:proofErr w:type="spellStart"/>
            <w:r w:rsidRPr="00132CA4">
              <w:rPr>
                <w:rFonts w:ascii="Times New Roman" w:hAnsi="Times New Roman" w:cs="Times New Roman"/>
                <w:lang w:val="en-US"/>
              </w:rPr>
              <w:t>CR</w:t>
            </w:r>
            <w:r w:rsidRPr="00132CA4">
              <w:rPr>
                <w:rFonts w:ascii="Times New Roman" w:hAnsi="Times New Roman" w:cs="Times New Roman"/>
                <w:vertAlign w:val="subscript"/>
                <w:lang w:val="en-US"/>
              </w:rPr>
              <w:t>limit</w:t>
            </w:r>
            <w:proofErr w:type="spellEnd"/>
            <w:r w:rsidRPr="00132CA4">
              <w:rPr>
                <w:rFonts w:ascii="Times New Roman" w:hAnsi="Times New Roman" w:cs="Times New Roman"/>
                <w:lang w:val="en-US" w:eastAsia="ko-KR"/>
              </w:rPr>
              <w:t xml:space="preserve"> for each value of the indication of a priority of a sidelink transmission carried by SCI payload </w:t>
            </w:r>
            <w:r w:rsidRPr="00132CA4">
              <w:rPr>
                <w:rFonts w:ascii="Times New Roman" w:hAnsi="Times New Roman" w:cs="Times New Roman"/>
                <w:lang w:val="en-US"/>
              </w:rPr>
              <w:t xml:space="preserve">(as per WA from RAN1#98), </w:t>
            </w:r>
            <w:r w:rsidRPr="00132CA4">
              <w:rPr>
                <w:rFonts w:ascii="Times New Roman" w:hAnsi="Times New Roman" w:cs="Times New Roman"/>
                <w:lang w:val="en-US" w:eastAsia="ko-KR"/>
              </w:rPr>
              <w:t xml:space="preserve">Lookup table is (pre)configured. Details up to RAN2. </w:t>
            </w:r>
          </w:p>
          <w:p w14:paraId="646CBEEC" w14:textId="77777777" w:rsidR="00132CA4" w:rsidRPr="00132CA4" w:rsidRDefault="00132CA4" w:rsidP="00132CA4">
            <w:pPr>
              <w:pStyle w:val="ListParagraph"/>
              <w:numPr>
                <w:ilvl w:val="0"/>
                <w:numId w:val="33"/>
              </w:numPr>
              <w:spacing w:line="259" w:lineRule="auto"/>
              <w:ind w:leftChars="0"/>
              <w:rPr>
                <w:rFonts w:ascii="Times New Roman" w:hAnsi="Times New Roman"/>
                <w:sz w:val="21"/>
                <w:szCs w:val="21"/>
                <w:lang w:val="en-US" w:eastAsia="ko-KR"/>
              </w:rPr>
            </w:pPr>
            <w:r w:rsidRPr="00132CA4">
              <w:rPr>
                <w:rFonts w:ascii="Times New Roman" w:hAnsi="Times New Roman"/>
                <w:sz w:val="21"/>
                <w:szCs w:val="21"/>
                <w:lang w:val="en-US" w:eastAsia="ko-KR"/>
              </w:rPr>
              <w:t xml:space="preserve">Up to 16 (as a </w:t>
            </w:r>
            <w:r w:rsidRPr="00132CA4">
              <w:rPr>
                <w:rFonts w:ascii="Times New Roman" w:hAnsi="Times New Roman"/>
                <w:sz w:val="21"/>
                <w:szCs w:val="21"/>
                <w:highlight w:val="darkYellow"/>
                <w:lang w:val="en-US" w:eastAsia="ko-KR"/>
              </w:rPr>
              <w:t>working assumption</w:t>
            </w:r>
            <w:r w:rsidRPr="00132CA4">
              <w:rPr>
                <w:rFonts w:ascii="Times New Roman" w:hAnsi="Times New Roman"/>
                <w:sz w:val="21"/>
                <w:szCs w:val="21"/>
                <w:lang w:val="en-US" w:eastAsia="ko-KR"/>
              </w:rPr>
              <w:t>) CBR ranges are supported</w:t>
            </w:r>
          </w:p>
          <w:p w14:paraId="3AE55686" w14:textId="77777777" w:rsidR="00132CA4" w:rsidRPr="00132CA4" w:rsidRDefault="00132CA4" w:rsidP="00132CA4">
            <w:pPr>
              <w:pStyle w:val="ListParagraph"/>
              <w:numPr>
                <w:ilvl w:val="1"/>
                <w:numId w:val="33"/>
              </w:numPr>
              <w:spacing w:after="120" w:line="259" w:lineRule="auto"/>
              <w:ind w:leftChars="0"/>
              <w:rPr>
                <w:rFonts w:ascii="Times New Roman" w:hAnsi="Times New Roman"/>
                <w:sz w:val="21"/>
                <w:szCs w:val="21"/>
                <w:lang w:val="en-US" w:eastAsia="ko-KR"/>
              </w:rPr>
            </w:pPr>
            <w:r w:rsidRPr="00132CA4">
              <w:rPr>
                <w:rFonts w:ascii="Times New Roman" w:hAnsi="Times New Roman"/>
                <w:sz w:val="21"/>
                <w:szCs w:val="21"/>
                <w:lang w:val="en-US" w:eastAsia="ko-KR"/>
              </w:rPr>
              <w:lastRenderedPageBreak/>
              <w:t>The working assumption will be automatically confirmed in RAN1#99 if no further input</w:t>
            </w:r>
          </w:p>
          <w:p w14:paraId="138C29E3"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b/>
                <w:bCs/>
                <w:highlight w:val="green"/>
                <w:lang w:val="en-US"/>
              </w:rPr>
              <w:t>Agreements</w:t>
            </w:r>
            <w:r w:rsidRPr="00132CA4">
              <w:rPr>
                <w:rFonts w:ascii="Times New Roman" w:hAnsi="Times New Roman" w:cs="Times New Roman"/>
                <w:lang w:val="en-US"/>
              </w:rPr>
              <w:t>:</w:t>
            </w:r>
          </w:p>
          <w:p w14:paraId="032F9AFF" w14:textId="77777777" w:rsidR="00132CA4" w:rsidRPr="00132CA4" w:rsidRDefault="00132CA4" w:rsidP="00132CA4">
            <w:pPr>
              <w:numPr>
                <w:ilvl w:val="0"/>
                <w:numId w:val="34"/>
              </w:numPr>
              <w:jc w:val="left"/>
              <w:rPr>
                <w:rFonts w:ascii="Times New Roman" w:hAnsi="Times New Roman" w:cs="Times New Roman"/>
                <w:lang w:val="en-US"/>
              </w:rPr>
            </w:pPr>
            <w:r w:rsidRPr="00132CA4">
              <w:rPr>
                <w:rFonts w:ascii="Times New Roman" w:hAnsi="Times New Roman" w:cs="Times New Roman"/>
                <w:lang w:val="en-US"/>
              </w:rPr>
              <w:t>For the priority indication in 1</w:t>
            </w:r>
            <w:r w:rsidRPr="00132CA4">
              <w:rPr>
                <w:rFonts w:ascii="Times New Roman" w:hAnsi="Times New Roman" w:cs="Times New Roman"/>
                <w:vertAlign w:val="superscript"/>
                <w:lang w:val="en-US"/>
              </w:rPr>
              <w:t>st</w:t>
            </w:r>
            <w:r w:rsidRPr="00132CA4">
              <w:rPr>
                <w:rFonts w:ascii="Times New Roman" w:hAnsi="Times New Roman" w:cs="Times New Roman"/>
                <w:lang w:val="en-US"/>
              </w:rPr>
              <w:t xml:space="preserve"> stage SCI: </w:t>
            </w:r>
          </w:p>
          <w:p w14:paraId="5459DE96" w14:textId="77777777" w:rsidR="00132CA4" w:rsidRPr="00132CA4" w:rsidRDefault="00132CA4" w:rsidP="00132CA4">
            <w:pPr>
              <w:numPr>
                <w:ilvl w:val="1"/>
                <w:numId w:val="34"/>
              </w:numPr>
              <w:jc w:val="left"/>
              <w:rPr>
                <w:rFonts w:ascii="Times New Roman" w:hAnsi="Times New Roman" w:cs="Times New Roman"/>
                <w:lang w:val="en-US"/>
              </w:rPr>
            </w:pPr>
            <w:r w:rsidRPr="00132CA4">
              <w:rPr>
                <w:rFonts w:ascii="Times New Roman" w:hAnsi="Times New Roman" w:cs="Times New Roman"/>
                <w:lang w:val="en-US"/>
              </w:rPr>
              <w:t>Up to RAN2 on how to define the mapping between the priority indication and the corresponding QoS</w:t>
            </w:r>
          </w:p>
          <w:p w14:paraId="16BCF1F2" w14:textId="77777777" w:rsidR="00132CA4" w:rsidRPr="00132CA4" w:rsidRDefault="00132CA4" w:rsidP="00132CA4">
            <w:pPr>
              <w:numPr>
                <w:ilvl w:val="1"/>
                <w:numId w:val="34"/>
              </w:numPr>
              <w:spacing w:after="120"/>
              <w:jc w:val="left"/>
              <w:rPr>
                <w:rFonts w:ascii="Times New Roman" w:hAnsi="Times New Roman" w:cs="Times New Roman"/>
                <w:lang w:val="en-US"/>
              </w:rPr>
            </w:pPr>
            <w:r w:rsidRPr="00132CA4">
              <w:rPr>
                <w:rFonts w:ascii="Times New Roman" w:hAnsi="Times New Roman" w:cs="Times New Roman"/>
                <w:lang w:val="en-US"/>
              </w:rPr>
              <w:t xml:space="preserve">Size is 3 bits </w:t>
            </w:r>
            <w:r w:rsidRPr="00132CA4">
              <w:rPr>
                <w:rFonts w:ascii="Times New Roman" w:hAnsi="Times New Roman" w:cs="Times New Roman"/>
                <w:lang w:val="en-US" w:eastAsia="ko-KR"/>
              </w:rPr>
              <w:t xml:space="preserve">(as a </w:t>
            </w:r>
            <w:r w:rsidRPr="00132CA4">
              <w:rPr>
                <w:rFonts w:ascii="Times New Roman" w:hAnsi="Times New Roman" w:cs="Times New Roman"/>
                <w:highlight w:val="darkYellow"/>
                <w:lang w:val="en-US" w:eastAsia="ko-KR"/>
              </w:rPr>
              <w:t>working assumption</w:t>
            </w:r>
            <w:r w:rsidRPr="00132CA4">
              <w:rPr>
                <w:rFonts w:ascii="Times New Roman" w:hAnsi="Times New Roman" w:cs="Times New Roman"/>
                <w:lang w:val="en-US" w:eastAsia="ko-KR"/>
              </w:rPr>
              <w:t>)</w:t>
            </w:r>
          </w:p>
          <w:p w14:paraId="6814FF27"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b/>
                <w:bCs/>
                <w:highlight w:val="green"/>
                <w:lang w:val="en-US"/>
              </w:rPr>
              <w:t>Agreements</w:t>
            </w:r>
            <w:r w:rsidRPr="00132CA4">
              <w:rPr>
                <w:rFonts w:ascii="Times New Roman" w:hAnsi="Times New Roman" w:cs="Times New Roman"/>
                <w:lang w:val="en-US"/>
              </w:rPr>
              <w:t>:</w:t>
            </w:r>
          </w:p>
          <w:p w14:paraId="349AD604" w14:textId="0C1A264C" w:rsidR="00132CA4" w:rsidRPr="00132CA4" w:rsidRDefault="00132CA4" w:rsidP="00132CA4">
            <w:pPr>
              <w:numPr>
                <w:ilvl w:val="0"/>
                <w:numId w:val="34"/>
              </w:numPr>
              <w:spacing w:after="120"/>
              <w:jc w:val="left"/>
              <w:rPr>
                <w:rFonts w:ascii="Times New Roman" w:hAnsi="Times New Roman" w:cs="Times New Roman"/>
                <w:bCs/>
                <w:lang w:val="en-US"/>
              </w:rPr>
            </w:pPr>
            <w:r w:rsidRPr="00132CA4">
              <w:rPr>
                <w:rFonts w:ascii="Times New Roman" w:hAnsi="Times New Roman" w:cs="Times New Roman"/>
                <w:bCs/>
                <w:lang w:val="en-US"/>
              </w:rPr>
              <w:t>Sidelink RSSI (SL-RSSI) measurement is used for CBR estimation</w:t>
            </w:r>
          </w:p>
          <w:p w14:paraId="3363B587"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b/>
                <w:bCs/>
                <w:highlight w:val="green"/>
                <w:lang w:val="en-US"/>
              </w:rPr>
              <w:t>Agreements</w:t>
            </w:r>
            <w:r w:rsidRPr="00132CA4">
              <w:rPr>
                <w:rFonts w:ascii="Times New Roman" w:hAnsi="Times New Roman" w:cs="Times New Roman"/>
                <w:lang w:val="en-US"/>
              </w:rPr>
              <w:t>:</w:t>
            </w:r>
          </w:p>
          <w:p w14:paraId="5A5A70F1" w14:textId="77777777" w:rsidR="00132CA4" w:rsidRPr="006A58CD" w:rsidRDefault="00132CA4" w:rsidP="00D562C7">
            <w:pPr>
              <w:spacing w:after="120"/>
              <w:rPr>
                <w:rFonts w:ascii="Times New Roman" w:hAnsi="Times New Roman" w:cs="Times New Roman"/>
                <w:bCs/>
              </w:rPr>
            </w:pPr>
            <w:r w:rsidRPr="00132CA4">
              <w:rPr>
                <w:rFonts w:ascii="Times New Roman" w:hAnsi="Times New Roman" w:cs="Times New Roman"/>
                <w:bCs/>
                <w:lang w:val="en-US"/>
              </w:rPr>
              <w:t xml:space="preserve">A sidelink resource is busy for the purpose of CBR measurement if </w:t>
            </w:r>
            <w:r w:rsidRPr="00132CA4">
              <w:rPr>
                <w:rFonts w:ascii="Times New Roman" w:hAnsi="Times New Roman" w:cs="Times New Roman"/>
                <w:bCs/>
              </w:rPr>
              <w:t xml:space="preserve">Sidelink RSSI measured by the UE in </w:t>
            </w:r>
            <w:r w:rsidRPr="006A58CD">
              <w:rPr>
                <w:rFonts w:ascii="Times New Roman" w:hAnsi="Times New Roman" w:cs="Times New Roman"/>
                <w:bCs/>
              </w:rPr>
              <w:t>that resource exceeds a (pre-)configured threshold.</w:t>
            </w:r>
          </w:p>
          <w:p w14:paraId="1F41F9C0" w14:textId="77777777" w:rsidR="00D562C7" w:rsidRPr="006A58CD" w:rsidRDefault="00D562C7" w:rsidP="00D562C7">
            <w:pPr>
              <w:rPr>
                <w:rFonts w:ascii="Times New Roman" w:eastAsia="Batang" w:hAnsi="Times New Roman" w:cs="Times New Roman"/>
                <w:b/>
                <w:sz w:val="20"/>
                <w:szCs w:val="20"/>
                <w:highlight w:val="green"/>
                <w:lang w:val="en-US"/>
              </w:rPr>
            </w:pPr>
            <w:r w:rsidRPr="006A58CD">
              <w:rPr>
                <w:rFonts w:ascii="Times New Roman" w:hAnsi="Times New Roman" w:cs="Times New Roman"/>
                <w:b/>
                <w:szCs w:val="20"/>
                <w:highlight w:val="green"/>
                <w:lang w:val="en-US"/>
              </w:rPr>
              <w:t>Agreements:</w:t>
            </w:r>
          </w:p>
          <w:p w14:paraId="4116FCD6" w14:textId="1A6EA188" w:rsidR="00D562C7" w:rsidRPr="006A58CD" w:rsidRDefault="00D562C7" w:rsidP="00D562C7">
            <w:pPr>
              <w:rPr>
                <w:rFonts w:ascii="Times New Roman" w:hAnsi="Times New Roman" w:cs="Times New Roman"/>
                <w:bCs/>
                <w:szCs w:val="20"/>
                <w:lang w:val="en-US"/>
              </w:rPr>
            </w:pPr>
            <w:r w:rsidRPr="006A58CD">
              <w:rPr>
                <w:rFonts w:ascii="Times New Roman" w:hAnsi="Times New Roman" w:cs="Times New Roman"/>
                <w:bCs/>
                <w:szCs w:val="20"/>
                <w:lang w:val="en-US"/>
              </w:rPr>
              <w:t>The CBR measurement time window size is 100ms and 100 slots by (pre-)configuration.</w:t>
            </w:r>
          </w:p>
          <w:p w14:paraId="29EE7F86" w14:textId="59CAAB73" w:rsidR="00D562C7" w:rsidRPr="006A58CD" w:rsidRDefault="00D562C7" w:rsidP="00D562C7">
            <w:pPr>
              <w:spacing w:after="120"/>
              <w:rPr>
                <w:rFonts w:ascii="Times New Roman" w:hAnsi="Times New Roman" w:cs="Times New Roman"/>
                <w:bCs/>
                <w:szCs w:val="20"/>
                <w:lang w:val="en-US"/>
              </w:rPr>
            </w:pPr>
            <w:r w:rsidRPr="006A58CD">
              <w:rPr>
                <w:rFonts w:ascii="Times New Roman" w:hAnsi="Times New Roman" w:cs="Times New Roman"/>
                <w:bCs/>
                <w:szCs w:val="20"/>
                <w:lang w:val="en-US"/>
              </w:rPr>
              <w:t>CR window size is {1000ms, 1000 slots} by (pre)-configuration</w:t>
            </w:r>
          </w:p>
          <w:p w14:paraId="5A4DFF75" w14:textId="77777777" w:rsidR="00D562C7" w:rsidRPr="006A58CD" w:rsidRDefault="00D562C7" w:rsidP="00D562C7">
            <w:pPr>
              <w:rPr>
                <w:rFonts w:ascii="Times" w:hAnsi="Times"/>
                <w:b/>
                <w:szCs w:val="20"/>
              </w:rPr>
            </w:pPr>
            <w:r w:rsidRPr="006A58CD">
              <w:rPr>
                <w:rFonts w:ascii="Times" w:hAnsi="Times"/>
                <w:b/>
                <w:szCs w:val="20"/>
                <w:highlight w:val="green"/>
              </w:rPr>
              <w:t>Agreements:</w:t>
            </w:r>
          </w:p>
          <w:p w14:paraId="7D4E1C44" w14:textId="77777777" w:rsidR="00D562C7" w:rsidRPr="006A58CD" w:rsidRDefault="00D562C7" w:rsidP="00D562C7">
            <w:pPr>
              <w:numPr>
                <w:ilvl w:val="0"/>
                <w:numId w:val="35"/>
              </w:numPr>
              <w:spacing w:after="120"/>
              <w:ind w:right="150"/>
              <w:jc w:val="left"/>
              <w:rPr>
                <w:rFonts w:ascii="Times" w:hAnsi="Times"/>
                <w:bCs/>
                <w:szCs w:val="20"/>
              </w:rPr>
            </w:pPr>
            <w:r w:rsidRPr="006A58CD">
              <w:rPr>
                <w:rFonts w:ascii="Times" w:hAnsi="Times"/>
                <w:bCs/>
                <w:szCs w:val="20"/>
              </w:rPr>
              <w:t>Only TX parameter restriction based on absolute speed can be (pre)configured in Rel-16.</w:t>
            </w:r>
          </w:p>
          <w:p w14:paraId="524EBD1A" w14:textId="77777777" w:rsidR="00D562C7" w:rsidRPr="006A58CD" w:rsidRDefault="00D562C7" w:rsidP="00D562C7">
            <w:pPr>
              <w:jc w:val="left"/>
              <w:rPr>
                <w:rFonts w:ascii="Times" w:hAnsi="Times"/>
                <w:b/>
                <w:szCs w:val="20"/>
              </w:rPr>
            </w:pPr>
            <w:r w:rsidRPr="006A58CD">
              <w:rPr>
                <w:rFonts w:ascii="Times" w:hAnsi="Times"/>
                <w:b/>
                <w:szCs w:val="20"/>
                <w:highlight w:val="green"/>
              </w:rPr>
              <w:t>Agreements</w:t>
            </w:r>
            <w:r w:rsidRPr="006A58CD">
              <w:rPr>
                <w:rFonts w:ascii="Times" w:hAnsi="Times"/>
                <w:b/>
                <w:szCs w:val="20"/>
              </w:rPr>
              <w:t>:</w:t>
            </w:r>
          </w:p>
          <w:p w14:paraId="31B97818" w14:textId="77777777" w:rsidR="00D562C7" w:rsidRPr="006A58CD" w:rsidRDefault="00D562C7" w:rsidP="00D562C7">
            <w:pPr>
              <w:numPr>
                <w:ilvl w:val="0"/>
                <w:numId w:val="34"/>
              </w:numPr>
              <w:jc w:val="left"/>
              <w:rPr>
                <w:rFonts w:ascii="Times" w:eastAsia="Malgun Gothic" w:hAnsi="Times"/>
                <w:bCs/>
                <w:szCs w:val="20"/>
              </w:rPr>
            </w:pPr>
            <w:r w:rsidRPr="006A58CD">
              <w:rPr>
                <w:rFonts w:ascii="Times" w:eastAsia="Malgun Gothic" w:hAnsi="Times"/>
                <w:bCs/>
                <w:szCs w:val="20"/>
              </w:rPr>
              <w:t xml:space="preserve">The future segment of the CR evaluation window reuses the same behaviour as in the LTE V2X sidelink. </w:t>
            </w:r>
          </w:p>
          <w:p w14:paraId="535E5C85" w14:textId="0CA10082" w:rsidR="00D562C7" w:rsidRPr="00D562C7" w:rsidRDefault="00D562C7" w:rsidP="00D562C7">
            <w:pPr>
              <w:numPr>
                <w:ilvl w:val="1"/>
                <w:numId w:val="34"/>
              </w:numPr>
              <w:spacing w:after="120"/>
              <w:jc w:val="left"/>
              <w:rPr>
                <w:rFonts w:ascii="Times" w:eastAsia="Malgun Gothic" w:hAnsi="Times"/>
                <w:bCs/>
                <w:szCs w:val="20"/>
              </w:rPr>
            </w:pPr>
            <w:bookmarkStart w:id="2" w:name="_Hlk32141015"/>
            <w:r w:rsidRPr="006A58CD">
              <w:rPr>
                <w:rFonts w:ascii="Times" w:eastAsia="Malgun Gothic" w:hAnsi="Times"/>
                <w:bCs/>
                <w:szCs w:val="20"/>
              </w:rPr>
              <w:t>FFS whether additional constraints on UE’s choice of values for a and b are needed</w:t>
            </w:r>
            <w:bookmarkEnd w:id="2"/>
          </w:p>
        </w:tc>
      </w:tr>
    </w:tbl>
    <w:p w14:paraId="4D852517" w14:textId="0157261A" w:rsidR="00695CCB" w:rsidRPr="00695CCB" w:rsidRDefault="007E0507" w:rsidP="00132CA4">
      <w:pPr>
        <w:pStyle w:val="Heading1"/>
        <w:numPr>
          <w:ilvl w:val="0"/>
          <w:numId w:val="0"/>
        </w:numPr>
        <w:rPr>
          <w:sz w:val="22"/>
        </w:rPr>
      </w:pPr>
      <w:r>
        <w:rPr>
          <w:sz w:val="22"/>
        </w:rPr>
        <w:lastRenderedPageBreak/>
        <w:t>2</w:t>
      </w:r>
      <w:r w:rsidR="00132CA4">
        <w:rPr>
          <w:sz w:val="22"/>
        </w:rPr>
        <w:t xml:space="preserve">. </w:t>
      </w:r>
      <w:r>
        <w:rPr>
          <w:sz w:val="22"/>
        </w:rPr>
        <w:t>Channel occupancy ratio (CR)</w:t>
      </w:r>
    </w:p>
    <w:p w14:paraId="06970AF1" w14:textId="747A3F9E" w:rsidR="009015A9" w:rsidRPr="00A220C6" w:rsidRDefault="009015A9" w:rsidP="00A74298">
      <w:pPr>
        <w:spacing w:before="240" w:after="120"/>
        <w:rPr>
          <w:b/>
          <w:i/>
          <w:color w:val="000000" w:themeColor="text1"/>
          <w:sz w:val="20"/>
          <w:szCs w:val="20"/>
          <w:u w:val="single"/>
        </w:rPr>
      </w:pPr>
      <w:r>
        <w:rPr>
          <w:b/>
          <w:i/>
          <w:color w:val="000000" w:themeColor="text1"/>
          <w:sz w:val="20"/>
          <w:szCs w:val="20"/>
          <w:u w:val="single"/>
        </w:rPr>
        <w:t xml:space="preserve">CR </w:t>
      </w:r>
      <w:r w:rsidR="001F5429">
        <w:rPr>
          <w:b/>
          <w:i/>
          <w:color w:val="000000" w:themeColor="text1"/>
          <w:sz w:val="20"/>
          <w:szCs w:val="20"/>
          <w:u w:val="single"/>
        </w:rPr>
        <w:t xml:space="preserve">definition </w:t>
      </w:r>
      <w:r>
        <w:rPr>
          <w:b/>
          <w:i/>
          <w:color w:val="000000" w:themeColor="text1"/>
          <w:sz w:val="20"/>
          <w:szCs w:val="20"/>
          <w:u w:val="single"/>
        </w:rPr>
        <w:t>in NR-V2X</w:t>
      </w:r>
    </w:p>
    <w:p w14:paraId="433CEC0C" w14:textId="2D53D9B8" w:rsidR="0059271B" w:rsidRPr="009015A9" w:rsidRDefault="007E0507" w:rsidP="0059271B">
      <w:pPr>
        <w:pStyle w:val="BodyText"/>
        <w:spacing w:after="120"/>
        <w:rPr>
          <w:rFonts w:eastAsiaTheme="minorEastAsia"/>
          <w:color w:val="000000" w:themeColor="text1"/>
          <w:sz w:val="20"/>
        </w:rPr>
      </w:pPr>
      <w:r>
        <w:rPr>
          <w:rFonts w:eastAsiaTheme="minorEastAsia"/>
          <w:color w:val="000000" w:themeColor="text1"/>
          <w:sz w:val="20"/>
        </w:rPr>
        <w:t>The current CR definition described in</w:t>
      </w:r>
      <w:r w:rsidR="0059271B" w:rsidRPr="009015A9">
        <w:rPr>
          <w:rFonts w:eastAsiaTheme="minorEastAsia"/>
          <w:color w:val="000000" w:themeColor="text1"/>
          <w:sz w:val="20"/>
        </w:rPr>
        <w:t xml:space="preserve"> [</w:t>
      </w:r>
      <w:r>
        <w:rPr>
          <w:rFonts w:eastAsiaTheme="minorEastAsia"/>
          <w:color w:val="000000" w:themeColor="text1"/>
          <w:sz w:val="20"/>
        </w:rPr>
        <w:t>3</w:t>
      </w:r>
      <w:r w:rsidR="0059271B">
        <w:rPr>
          <w:rFonts w:eastAsiaTheme="minorEastAsia"/>
          <w:color w:val="000000" w:themeColor="text1"/>
          <w:sz w:val="20"/>
        </w:rPr>
        <w:t xml:space="preserve">, </w:t>
      </w:r>
      <w:r w:rsidR="0059271B" w:rsidRPr="009015A9">
        <w:rPr>
          <w:rFonts w:eastAsiaTheme="minorEastAsia"/>
          <w:color w:val="000000" w:themeColor="text1"/>
          <w:sz w:val="20"/>
        </w:rPr>
        <w:t>3</w:t>
      </w:r>
      <w:r w:rsidR="0059271B">
        <w:rPr>
          <w:rFonts w:eastAsiaTheme="minorEastAsia"/>
          <w:color w:val="000000" w:themeColor="text1"/>
          <w:sz w:val="20"/>
        </w:rPr>
        <w:t>8</w:t>
      </w:r>
      <w:r w:rsidR="0059271B" w:rsidRPr="009015A9">
        <w:rPr>
          <w:rFonts w:eastAsiaTheme="minorEastAsia"/>
          <w:color w:val="000000" w:themeColor="text1"/>
          <w:sz w:val="20"/>
        </w:rPr>
        <w:t>.21</w:t>
      </w:r>
      <w:r w:rsidR="0059271B">
        <w:rPr>
          <w:rFonts w:eastAsiaTheme="minorEastAsia"/>
          <w:color w:val="000000" w:themeColor="text1"/>
          <w:sz w:val="20"/>
        </w:rPr>
        <w:t>5</w:t>
      </w:r>
      <w:r w:rsidR="0059271B" w:rsidRPr="009015A9">
        <w:rPr>
          <w:rFonts w:eastAsiaTheme="minorEastAsia"/>
          <w:color w:val="000000" w:themeColor="text1"/>
          <w:sz w:val="20"/>
        </w:rPr>
        <w:t>]</w:t>
      </w:r>
      <w:r>
        <w:rPr>
          <w:rFonts w:eastAsiaTheme="minorEastAsia"/>
          <w:color w:val="000000" w:themeColor="text1"/>
          <w:sz w:val="20"/>
        </w:rPr>
        <w:t xml:space="preserve"> for RN-V2X is repeated below in blue text.</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9"/>
        <w:gridCol w:w="7785"/>
      </w:tblGrid>
      <w:tr w:rsidR="0059271B" w14:paraId="6C7DE9E1" w14:textId="77777777" w:rsidTr="00745E95">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13385743" w14:textId="77777777" w:rsidR="0059271B" w:rsidRDefault="0059271B" w:rsidP="00745E9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73786314" w14:textId="77777777" w:rsidR="0059271B" w:rsidRDefault="0059271B" w:rsidP="00745E95">
            <w:pPr>
              <w:pStyle w:val="TAL"/>
              <w:spacing w:before="60" w:after="60"/>
              <w:rPr>
                <w:szCs w:val="18"/>
              </w:rPr>
            </w:pPr>
            <w:r w:rsidRPr="001F5429">
              <w:rPr>
                <w:lang w:eastAsia="ko-KR"/>
              </w:rPr>
              <w:t>Sidelink Channel Occupancy Ratio (SL CR) evaluated at slot n is defined as the total number of sub-channels used for its transmissions in slots [</w:t>
            </w:r>
            <w:r w:rsidRPr="001F5429">
              <w:rPr>
                <w:i/>
                <w:iCs/>
                <w:lang w:eastAsia="ko-KR"/>
              </w:rPr>
              <w:t>n-a</w:t>
            </w:r>
            <w:r w:rsidRPr="001F5429">
              <w:rPr>
                <w:lang w:eastAsia="ko-KR"/>
              </w:rPr>
              <w:t xml:space="preserve">, </w:t>
            </w:r>
            <w:r w:rsidRPr="001F5429">
              <w:rPr>
                <w:i/>
                <w:iCs/>
                <w:lang w:eastAsia="ko-KR"/>
              </w:rPr>
              <w:t>n-1</w:t>
            </w:r>
            <w:r w:rsidRPr="001F5429">
              <w:rPr>
                <w:lang w:eastAsia="ko-KR"/>
              </w:rPr>
              <w:t>] and granted in slots [</w:t>
            </w:r>
            <w:r w:rsidRPr="001F5429">
              <w:rPr>
                <w:i/>
                <w:iCs/>
                <w:lang w:eastAsia="ko-KR"/>
              </w:rPr>
              <w:t>n</w:t>
            </w:r>
            <w:r w:rsidRPr="001F5429">
              <w:rPr>
                <w:lang w:eastAsia="ko-KR"/>
              </w:rPr>
              <w:t xml:space="preserve">, </w:t>
            </w:r>
            <w:proofErr w:type="spellStart"/>
            <w:r w:rsidRPr="001F5429">
              <w:rPr>
                <w:i/>
                <w:iCs/>
                <w:lang w:eastAsia="ko-KR"/>
              </w:rPr>
              <w:t>n+b</w:t>
            </w:r>
            <w:proofErr w:type="spellEnd"/>
            <w:r w:rsidRPr="001F5429">
              <w:rPr>
                <w:lang w:eastAsia="ko-KR"/>
              </w:rPr>
              <w:t>] divided by the total number of configured sub-channels in the transmission pool over [</w:t>
            </w:r>
            <w:r w:rsidRPr="00262DA4">
              <w:rPr>
                <w:i/>
                <w:iCs/>
                <w:lang w:eastAsia="ko-KR"/>
              </w:rPr>
              <w:t>n-a</w:t>
            </w:r>
            <w:r w:rsidRPr="001F5429">
              <w:rPr>
                <w:lang w:eastAsia="ko-KR"/>
              </w:rPr>
              <w:t xml:space="preserve">, </w:t>
            </w:r>
            <w:proofErr w:type="spellStart"/>
            <w:r w:rsidRPr="00262DA4">
              <w:rPr>
                <w:i/>
                <w:iCs/>
                <w:lang w:eastAsia="ko-KR"/>
              </w:rPr>
              <w:t>n+b</w:t>
            </w:r>
            <w:proofErr w:type="spellEnd"/>
            <w:r w:rsidRPr="001F5429">
              <w:rPr>
                <w:lang w:eastAsia="ko-KR"/>
              </w:rPr>
              <w:t>].</w:t>
            </w:r>
          </w:p>
        </w:tc>
      </w:tr>
      <w:tr w:rsidR="0059271B" w14:paraId="52229A4A" w14:textId="77777777" w:rsidTr="00745E95">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35824111" w14:textId="77777777" w:rsidR="0059271B" w:rsidRDefault="0059271B" w:rsidP="00745E9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61070B68" w14:textId="77777777" w:rsidR="0059271B" w:rsidRDefault="0059271B" w:rsidP="00745E95">
            <w:pPr>
              <w:pStyle w:val="TAL"/>
              <w:spacing w:before="60"/>
            </w:pPr>
            <w:r>
              <w:t>RRC_IDLE intra-frequency,</w:t>
            </w:r>
          </w:p>
          <w:p w14:paraId="664D73A3" w14:textId="77777777" w:rsidR="0059271B" w:rsidRDefault="0059271B" w:rsidP="00745E95">
            <w:pPr>
              <w:pStyle w:val="TAL"/>
            </w:pPr>
            <w:r>
              <w:t>RRC_IDLE inter-frequency,</w:t>
            </w:r>
          </w:p>
          <w:p w14:paraId="445A32C5" w14:textId="77777777" w:rsidR="0059271B" w:rsidRDefault="0059271B" w:rsidP="00745E95">
            <w:pPr>
              <w:pStyle w:val="TAL"/>
            </w:pPr>
            <w:r>
              <w:t>RRC_CONNECTED intra-frequency,</w:t>
            </w:r>
          </w:p>
          <w:p w14:paraId="535A8163" w14:textId="77777777" w:rsidR="0059271B" w:rsidRDefault="0059271B" w:rsidP="00745E95">
            <w:pPr>
              <w:pStyle w:val="TAL"/>
              <w:spacing w:after="60"/>
            </w:pPr>
            <w:r>
              <w:t>RRC_CONNECTED inter-frequency</w:t>
            </w:r>
          </w:p>
        </w:tc>
      </w:tr>
    </w:tbl>
    <w:p w14:paraId="1485F53B" w14:textId="77777777" w:rsidR="0059271B" w:rsidRPr="001F5429" w:rsidRDefault="0059271B" w:rsidP="0059271B">
      <w:pPr>
        <w:pStyle w:val="NO"/>
        <w:spacing w:before="60" w:after="0"/>
        <w:rPr>
          <w:color w:val="0000FF"/>
          <w:lang w:eastAsia="ko-KR"/>
        </w:rPr>
      </w:pPr>
      <w:r w:rsidRPr="009015A9">
        <w:rPr>
          <w:color w:val="0000FF"/>
          <w:lang w:eastAsia="ko-KR"/>
        </w:rPr>
        <w:t>NOTE 1:</w:t>
      </w:r>
      <w:r w:rsidRPr="009015A9">
        <w:rPr>
          <w:color w:val="0000FF"/>
          <w:lang w:eastAsia="ko-KR"/>
        </w:rPr>
        <w:tab/>
      </w:r>
      <w:r w:rsidRPr="001F5429">
        <w:rPr>
          <w:i/>
          <w:iCs/>
          <w:color w:val="0000FF"/>
          <w:lang w:eastAsia="ko-KR"/>
        </w:rPr>
        <w:t>a</w:t>
      </w:r>
      <w:r w:rsidRPr="001F5429">
        <w:rPr>
          <w:color w:val="0000FF"/>
          <w:lang w:eastAsia="ko-KR"/>
        </w:rPr>
        <w:t xml:space="preserve"> is a positive integer and </w:t>
      </w:r>
      <w:r w:rsidRPr="001F5429">
        <w:rPr>
          <w:i/>
          <w:iCs/>
          <w:color w:val="0000FF"/>
          <w:lang w:eastAsia="ko-KR"/>
        </w:rPr>
        <w:t>b</w:t>
      </w:r>
      <w:r w:rsidRPr="001F5429">
        <w:rPr>
          <w:color w:val="0000FF"/>
          <w:lang w:eastAsia="ko-KR"/>
        </w:rPr>
        <w:t xml:space="preserve"> is TBD; </w:t>
      </w:r>
      <w:r w:rsidRPr="001F5429">
        <w:rPr>
          <w:i/>
          <w:iCs/>
          <w:color w:val="0000FF"/>
          <w:lang w:eastAsia="ko-KR"/>
        </w:rPr>
        <w:t>a</w:t>
      </w:r>
      <w:r w:rsidRPr="001F5429">
        <w:rPr>
          <w:color w:val="0000FF"/>
          <w:lang w:eastAsia="ko-KR"/>
        </w:rPr>
        <w:t xml:space="preserve"> and </w:t>
      </w:r>
      <w:r w:rsidRPr="001F5429">
        <w:rPr>
          <w:i/>
          <w:iCs/>
          <w:color w:val="0000FF"/>
          <w:lang w:eastAsia="ko-KR"/>
        </w:rPr>
        <w:t>b</w:t>
      </w:r>
      <w:r w:rsidRPr="001F5429">
        <w:rPr>
          <w:color w:val="0000FF"/>
          <w:lang w:eastAsia="ko-KR"/>
        </w:rPr>
        <w:t xml:space="preserve"> are determined by UE implementation with </w:t>
      </w:r>
      <w:r w:rsidRPr="001F5429">
        <w:rPr>
          <w:i/>
          <w:iCs/>
          <w:color w:val="0000FF"/>
          <w:lang w:eastAsia="ko-KR"/>
        </w:rPr>
        <w:t>a+b+1</w:t>
      </w:r>
      <w:r w:rsidRPr="001F5429">
        <w:rPr>
          <w:color w:val="0000FF"/>
          <w:lang w:eastAsia="ko-KR"/>
        </w:rPr>
        <w:t xml:space="preserve"> = 1000 or 1000</w:t>
      </w:r>
      <w:bookmarkStart w:id="3" w:name="_Hlk32139176"/>
      <w:r w:rsidRPr="001F5429">
        <w:rPr>
          <w:color w:val="0000FF"/>
          <w:lang w:eastAsia="ko-KR"/>
        </w:rPr>
        <w:t>·2</w:t>
      </w:r>
      <w:r w:rsidRPr="001F5429">
        <w:rPr>
          <w:color w:val="0000FF"/>
          <w:vertAlign w:val="superscript"/>
          <w:lang w:eastAsia="ko-KR"/>
        </w:rPr>
        <w:t>µ</w:t>
      </w:r>
      <w:r w:rsidRPr="001F5429">
        <w:rPr>
          <w:color w:val="0000FF"/>
          <w:lang w:eastAsia="ko-KR"/>
        </w:rPr>
        <w:t xml:space="preserve"> slots</w:t>
      </w:r>
      <w:bookmarkEnd w:id="3"/>
      <w:r w:rsidRPr="001F5429">
        <w:rPr>
          <w:color w:val="0000FF"/>
          <w:lang w:eastAsia="ko-KR"/>
        </w:rPr>
        <w:t xml:space="preserve">, according to higher layer parameter </w:t>
      </w:r>
      <w:proofErr w:type="spellStart"/>
      <w:r w:rsidRPr="001F5429">
        <w:rPr>
          <w:i/>
          <w:iCs/>
          <w:color w:val="0000FF"/>
          <w:lang w:eastAsia="ko-KR"/>
        </w:rPr>
        <w:t>timeWindowSize</w:t>
      </w:r>
      <w:proofErr w:type="spellEnd"/>
      <w:r w:rsidRPr="001F5429">
        <w:rPr>
          <w:i/>
          <w:iCs/>
          <w:color w:val="0000FF"/>
          <w:lang w:eastAsia="ko-KR"/>
        </w:rPr>
        <w:t>-CR</w:t>
      </w:r>
      <w:r w:rsidRPr="001F5429">
        <w:rPr>
          <w:color w:val="0000FF"/>
          <w:lang w:eastAsia="ko-KR"/>
        </w:rPr>
        <w:t xml:space="preserve">, a &gt;= TBD, and </w:t>
      </w:r>
      <w:proofErr w:type="spellStart"/>
      <w:r w:rsidRPr="001F5429">
        <w:rPr>
          <w:color w:val="0000FF"/>
          <w:lang w:eastAsia="ko-KR"/>
        </w:rPr>
        <w:t>n+b</w:t>
      </w:r>
      <w:proofErr w:type="spellEnd"/>
      <w:r w:rsidRPr="001F5429">
        <w:rPr>
          <w:color w:val="0000FF"/>
          <w:lang w:eastAsia="ko-KR"/>
        </w:rPr>
        <w:t xml:space="preserve"> should not exceed the last transmission opportunity of the grant for the current transmission.</w:t>
      </w:r>
    </w:p>
    <w:p w14:paraId="721DA4EF" w14:textId="77777777" w:rsidR="0059271B" w:rsidRPr="009015A9" w:rsidRDefault="0059271B" w:rsidP="0059271B">
      <w:pPr>
        <w:pStyle w:val="NO"/>
        <w:spacing w:before="60" w:after="0"/>
        <w:rPr>
          <w:rFonts w:ascii="Calibri" w:hAnsi="Calibri"/>
          <w:color w:val="0000FF"/>
          <w:sz w:val="22"/>
          <w:szCs w:val="22"/>
          <w:lang w:val="en-US" w:eastAsia="ko-KR"/>
        </w:rPr>
      </w:pPr>
      <w:r w:rsidRPr="009015A9">
        <w:rPr>
          <w:color w:val="0000FF"/>
          <w:lang w:eastAsia="ko-KR"/>
        </w:rPr>
        <w:t>NOTE 2:</w:t>
      </w:r>
      <w:r w:rsidRPr="009015A9">
        <w:rPr>
          <w:color w:val="0000FF"/>
          <w:lang w:eastAsia="ko-KR"/>
        </w:rPr>
        <w:tab/>
        <w:t xml:space="preserve">CR is evaluated for each </w:t>
      </w:r>
      <w:r>
        <w:rPr>
          <w:color w:val="0000FF"/>
          <w:lang w:eastAsia="ko-KR"/>
        </w:rPr>
        <w:t>[</w:t>
      </w:r>
      <w:r w:rsidRPr="009015A9">
        <w:rPr>
          <w:color w:val="0000FF"/>
          <w:lang w:eastAsia="ko-KR"/>
        </w:rPr>
        <w:t>(re)transmission</w:t>
      </w:r>
      <w:r>
        <w:rPr>
          <w:color w:val="0000FF"/>
          <w:lang w:eastAsia="ko-KR"/>
        </w:rPr>
        <w:t>]</w:t>
      </w:r>
      <w:r w:rsidRPr="009015A9">
        <w:rPr>
          <w:color w:val="0000FF"/>
          <w:lang w:eastAsia="ko-KR"/>
        </w:rPr>
        <w:t>.</w:t>
      </w:r>
    </w:p>
    <w:p w14:paraId="764D501E" w14:textId="77777777" w:rsidR="0059271B" w:rsidRPr="009015A9" w:rsidRDefault="0059271B" w:rsidP="0059271B">
      <w:pPr>
        <w:pStyle w:val="NO"/>
        <w:spacing w:before="60" w:after="0"/>
        <w:rPr>
          <w:color w:val="0000FF"/>
          <w:lang w:eastAsia="ko-KR"/>
        </w:rPr>
      </w:pPr>
      <w:r w:rsidRPr="009015A9">
        <w:rPr>
          <w:color w:val="0000FF"/>
          <w:lang w:eastAsia="ko-KR"/>
        </w:rPr>
        <w:t>NOTE 3:</w:t>
      </w:r>
      <w:r w:rsidRPr="009015A9">
        <w:rPr>
          <w:color w:val="0000FF"/>
          <w:lang w:eastAsia="ko-KR"/>
        </w:rPr>
        <w:tab/>
      </w:r>
      <w:r w:rsidRPr="001F5429">
        <w:rPr>
          <w:color w:val="0000FF"/>
          <w:lang w:eastAsia="ko-KR"/>
        </w:rPr>
        <w:t xml:space="preserve">In evaluating SL CR, the UE shall assume the transmission parameter used at slot </w:t>
      </w:r>
      <w:r w:rsidRPr="001F5429">
        <w:rPr>
          <w:i/>
          <w:iCs/>
          <w:color w:val="0000FF"/>
          <w:lang w:eastAsia="ko-KR"/>
        </w:rPr>
        <w:t>n</w:t>
      </w:r>
      <w:r w:rsidRPr="001F5429">
        <w:rPr>
          <w:color w:val="0000FF"/>
          <w:lang w:eastAsia="ko-KR"/>
        </w:rPr>
        <w:t xml:space="preserve"> is reused according to the existing grant(s) in slot [</w:t>
      </w:r>
      <w:r w:rsidRPr="001F5429">
        <w:rPr>
          <w:i/>
          <w:iCs/>
          <w:color w:val="0000FF"/>
          <w:lang w:eastAsia="ko-KR"/>
        </w:rPr>
        <w:t>n+1</w:t>
      </w:r>
      <w:r w:rsidRPr="001F5429">
        <w:rPr>
          <w:color w:val="0000FF"/>
          <w:lang w:eastAsia="ko-KR"/>
        </w:rPr>
        <w:t xml:space="preserve">, </w:t>
      </w:r>
      <w:proofErr w:type="spellStart"/>
      <w:r w:rsidRPr="001F5429">
        <w:rPr>
          <w:i/>
          <w:iCs/>
          <w:color w:val="0000FF"/>
          <w:lang w:eastAsia="ko-KR"/>
        </w:rPr>
        <w:t>n+b</w:t>
      </w:r>
      <w:proofErr w:type="spellEnd"/>
      <w:r w:rsidRPr="001F5429">
        <w:rPr>
          <w:color w:val="0000FF"/>
          <w:lang w:eastAsia="ko-KR"/>
        </w:rPr>
        <w:t>] without packet dropping.</w:t>
      </w:r>
    </w:p>
    <w:p w14:paraId="0F07934D" w14:textId="77777777" w:rsidR="0059271B" w:rsidRPr="009015A9" w:rsidRDefault="0059271B" w:rsidP="0059271B">
      <w:pPr>
        <w:pStyle w:val="NO"/>
        <w:spacing w:before="60" w:after="0"/>
        <w:rPr>
          <w:color w:val="0000FF"/>
          <w:lang w:eastAsia="ko-KR"/>
        </w:rPr>
      </w:pPr>
      <w:r>
        <w:rPr>
          <w:color w:val="0000FF"/>
          <w:lang w:eastAsia="ko-KR"/>
        </w:rPr>
        <w:t>[</w:t>
      </w:r>
      <w:r w:rsidRPr="009015A9">
        <w:rPr>
          <w:color w:val="0000FF"/>
          <w:lang w:eastAsia="ko-KR"/>
        </w:rPr>
        <w:t>NOTE 4:</w:t>
      </w:r>
      <w:r w:rsidRPr="009015A9">
        <w:rPr>
          <w:color w:val="0000FF"/>
          <w:lang w:eastAsia="ko-KR"/>
        </w:rPr>
        <w:tab/>
        <w:t xml:space="preserve">The </w:t>
      </w:r>
      <w:r>
        <w:rPr>
          <w:color w:val="0000FF"/>
          <w:lang w:eastAsia="ko-KR"/>
        </w:rPr>
        <w:t>slot</w:t>
      </w:r>
      <w:r w:rsidRPr="009015A9">
        <w:rPr>
          <w:color w:val="0000FF"/>
          <w:lang w:eastAsia="ko-KR"/>
        </w:rPr>
        <w:t xml:space="preserve"> index is based on physical </w:t>
      </w:r>
      <w:r>
        <w:rPr>
          <w:color w:val="0000FF"/>
          <w:lang w:eastAsia="ko-KR"/>
        </w:rPr>
        <w:t>slot</w:t>
      </w:r>
      <w:r w:rsidRPr="009015A9">
        <w:rPr>
          <w:color w:val="0000FF"/>
          <w:lang w:eastAsia="ko-KR"/>
        </w:rPr>
        <w:t xml:space="preserve"> index.</w:t>
      </w:r>
      <w:r>
        <w:rPr>
          <w:color w:val="0000FF"/>
          <w:lang w:eastAsia="ko-KR"/>
        </w:rPr>
        <w:t>]</w:t>
      </w:r>
    </w:p>
    <w:p w14:paraId="30AAA2F3" w14:textId="77777777" w:rsidR="0059271B" w:rsidRDefault="0059271B" w:rsidP="0059271B">
      <w:pPr>
        <w:pStyle w:val="NO"/>
        <w:spacing w:before="60" w:after="120"/>
        <w:rPr>
          <w:rFonts w:eastAsia="Malgun Gothic"/>
          <w:lang w:eastAsia="ko-KR"/>
        </w:rPr>
      </w:pPr>
      <w:r w:rsidRPr="009015A9">
        <w:rPr>
          <w:color w:val="0000FF"/>
          <w:lang w:eastAsia="ko-KR"/>
        </w:rPr>
        <w:t>NOTE 5:</w:t>
      </w:r>
      <w:r w:rsidRPr="009015A9">
        <w:rPr>
          <w:color w:val="0000FF"/>
          <w:lang w:eastAsia="ko-KR"/>
        </w:rPr>
        <w:tab/>
        <w:t>CR can be computed per priority level</w:t>
      </w:r>
    </w:p>
    <w:p w14:paraId="5C089DD8" w14:textId="60AD605E" w:rsidR="007E0507" w:rsidRPr="004547F5" w:rsidRDefault="007E0507" w:rsidP="00EF0257">
      <w:pPr>
        <w:pStyle w:val="BodyText"/>
        <w:spacing w:after="120"/>
        <w:rPr>
          <w:rFonts w:eastAsiaTheme="minorEastAsia"/>
          <w:color w:val="auto"/>
          <w:sz w:val="20"/>
          <w:szCs w:val="20"/>
        </w:rPr>
      </w:pPr>
      <w:r>
        <w:rPr>
          <w:rFonts w:eastAsiaTheme="minorEastAsia"/>
          <w:color w:val="000000" w:themeColor="text1"/>
          <w:sz w:val="20"/>
          <w:szCs w:val="20"/>
        </w:rPr>
        <w:t xml:space="preserve">As seen, this </w:t>
      </w:r>
      <w:r w:rsidR="00D03C39">
        <w:rPr>
          <w:rFonts w:eastAsiaTheme="minorEastAsia"/>
          <w:color w:val="000000" w:themeColor="text1"/>
          <w:sz w:val="20"/>
          <w:szCs w:val="20"/>
        </w:rPr>
        <w:t>CR measurement evaluation</w:t>
      </w:r>
      <w:r>
        <w:rPr>
          <w:rFonts w:eastAsiaTheme="minorEastAsia"/>
          <w:color w:val="000000" w:themeColor="text1"/>
          <w:sz w:val="20"/>
          <w:szCs w:val="20"/>
        </w:rPr>
        <w:t xml:space="preserve"> reuse</w:t>
      </w:r>
      <w:r w:rsidR="00D03C39">
        <w:rPr>
          <w:rFonts w:eastAsiaTheme="minorEastAsia"/>
          <w:color w:val="000000" w:themeColor="text1"/>
          <w:sz w:val="20"/>
          <w:szCs w:val="20"/>
        </w:rPr>
        <w:t>d m</w:t>
      </w:r>
      <w:r w:rsidR="00FC2FFE">
        <w:rPr>
          <w:rFonts w:eastAsiaTheme="minorEastAsia"/>
          <w:color w:val="000000" w:themeColor="text1"/>
          <w:sz w:val="20"/>
          <w:szCs w:val="20"/>
        </w:rPr>
        <w:t>uch</w:t>
      </w:r>
      <w:r w:rsidR="00D03C39">
        <w:rPr>
          <w:rFonts w:eastAsiaTheme="minorEastAsia"/>
          <w:color w:val="000000" w:themeColor="text1"/>
          <w:sz w:val="20"/>
          <w:szCs w:val="20"/>
        </w:rPr>
        <w:t xml:space="preserve"> of the same definition from the LTE-V2X, wherein the</w:t>
      </w:r>
      <w:r w:rsidR="004601A2">
        <w:rPr>
          <w:rFonts w:eastAsiaTheme="minorEastAsia"/>
          <w:color w:val="000000" w:themeColor="text1"/>
          <w:sz w:val="20"/>
          <w:szCs w:val="20"/>
        </w:rPr>
        <w:t xml:space="preserve"> total</w:t>
      </w:r>
      <w:r w:rsidR="00D03C39">
        <w:rPr>
          <w:rFonts w:eastAsiaTheme="minorEastAsia"/>
          <w:color w:val="000000" w:themeColor="text1"/>
          <w:sz w:val="20"/>
          <w:szCs w:val="20"/>
        </w:rPr>
        <w:t xml:space="preserve"> evaluation window remains the same as 1000ms</w:t>
      </w:r>
      <w:r w:rsidR="004601A2">
        <w:rPr>
          <w:rFonts w:eastAsiaTheme="minorEastAsia"/>
          <w:color w:val="000000" w:themeColor="text1"/>
          <w:sz w:val="20"/>
          <w:szCs w:val="20"/>
        </w:rPr>
        <w:t xml:space="preserve"> (which is equivalent to 1000</w:t>
      </w:r>
      <w:r w:rsidR="004601A2" w:rsidRPr="004601A2">
        <w:rPr>
          <w:rFonts w:eastAsiaTheme="minorEastAsia"/>
          <w:color w:val="000000" w:themeColor="text1"/>
          <w:sz w:val="20"/>
          <w:szCs w:val="20"/>
        </w:rPr>
        <w:t>·2</w:t>
      </w:r>
      <w:r w:rsidR="004601A2" w:rsidRPr="004601A2">
        <w:rPr>
          <w:rFonts w:eastAsiaTheme="minorEastAsia"/>
          <w:color w:val="000000" w:themeColor="text1"/>
          <w:sz w:val="20"/>
          <w:szCs w:val="20"/>
          <w:vertAlign w:val="superscript"/>
        </w:rPr>
        <w:t>µ</w:t>
      </w:r>
      <w:r w:rsidR="004601A2" w:rsidRPr="004601A2">
        <w:rPr>
          <w:rFonts w:eastAsiaTheme="minorEastAsia"/>
          <w:color w:val="000000" w:themeColor="text1"/>
          <w:sz w:val="20"/>
          <w:szCs w:val="20"/>
        </w:rPr>
        <w:t xml:space="preserve"> slots</w:t>
      </w:r>
      <w:r w:rsidR="00FC2FFE">
        <w:rPr>
          <w:rFonts w:eastAsiaTheme="minorEastAsia"/>
          <w:color w:val="000000" w:themeColor="text1"/>
          <w:sz w:val="20"/>
          <w:szCs w:val="20"/>
        </w:rPr>
        <w:t xml:space="preserve"> in NR due to differences in subcarrier spacings</w:t>
      </w:r>
      <w:r w:rsidR="004601A2">
        <w:rPr>
          <w:rFonts w:eastAsiaTheme="minorEastAsia"/>
          <w:color w:val="000000" w:themeColor="text1"/>
          <w:sz w:val="20"/>
          <w:szCs w:val="20"/>
        </w:rPr>
        <w:t>)</w:t>
      </w:r>
      <w:r w:rsidR="004601A2" w:rsidRPr="004601A2">
        <w:rPr>
          <w:rFonts w:eastAsiaTheme="minorEastAsia"/>
          <w:color w:val="000000" w:themeColor="text1"/>
          <w:sz w:val="20"/>
          <w:szCs w:val="20"/>
        </w:rPr>
        <w:t xml:space="preserve"> </w:t>
      </w:r>
      <w:r w:rsidR="00D03C39">
        <w:rPr>
          <w:rFonts w:eastAsiaTheme="minorEastAsia"/>
          <w:color w:val="000000" w:themeColor="text1"/>
          <w:sz w:val="20"/>
          <w:szCs w:val="20"/>
        </w:rPr>
        <w:t xml:space="preserve">and </w:t>
      </w:r>
      <w:r w:rsidR="004601A2">
        <w:rPr>
          <w:rFonts w:eastAsiaTheme="minorEastAsia"/>
          <w:color w:val="000000" w:themeColor="text1"/>
          <w:sz w:val="20"/>
          <w:szCs w:val="20"/>
        </w:rPr>
        <w:t xml:space="preserve">it </w:t>
      </w:r>
      <w:r w:rsidR="00FC2FFE">
        <w:rPr>
          <w:rFonts w:eastAsiaTheme="minorEastAsia"/>
          <w:color w:val="000000" w:themeColor="text1"/>
          <w:sz w:val="20"/>
          <w:szCs w:val="20"/>
        </w:rPr>
        <w:t>retains</w:t>
      </w:r>
      <w:r w:rsidR="004601A2">
        <w:rPr>
          <w:rFonts w:eastAsiaTheme="minorEastAsia"/>
          <w:color w:val="000000" w:themeColor="text1"/>
          <w:sz w:val="20"/>
          <w:szCs w:val="20"/>
        </w:rPr>
        <w:t xml:space="preserve"> both </w:t>
      </w:r>
      <w:r w:rsidR="00FC2FFE">
        <w:rPr>
          <w:rFonts w:eastAsiaTheme="minorEastAsia"/>
          <w:color w:val="000000" w:themeColor="text1"/>
          <w:sz w:val="20"/>
          <w:szCs w:val="20"/>
        </w:rPr>
        <w:t xml:space="preserve">the </w:t>
      </w:r>
      <w:r w:rsidR="004601A2">
        <w:rPr>
          <w:rFonts w:eastAsiaTheme="minorEastAsia"/>
          <w:color w:val="000000" w:themeColor="text1"/>
          <w:sz w:val="20"/>
          <w:szCs w:val="20"/>
        </w:rPr>
        <w:t xml:space="preserve">past segment [n-a, n-1] and </w:t>
      </w:r>
      <w:r w:rsidR="00FC2FFE">
        <w:rPr>
          <w:rFonts w:eastAsiaTheme="minorEastAsia"/>
          <w:color w:val="000000" w:themeColor="text1"/>
          <w:sz w:val="20"/>
          <w:szCs w:val="20"/>
        </w:rPr>
        <w:t xml:space="preserve">the </w:t>
      </w:r>
      <w:r w:rsidR="004601A2">
        <w:rPr>
          <w:rFonts w:eastAsiaTheme="minorEastAsia"/>
          <w:color w:val="000000" w:themeColor="text1"/>
          <w:sz w:val="20"/>
          <w:szCs w:val="20"/>
        </w:rPr>
        <w:t xml:space="preserve">future segment [n, </w:t>
      </w:r>
      <w:proofErr w:type="spellStart"/>
      <w:r w:rsidR="004601A2">
        <w:rPr>
          <w:rFonts w:eastAsiaTheme="minorEastAsia"/>
          <w:color w:val="000000" w:themeColor="text1"/>
          <w:sz w:val="20"/>
          <w:szCs w:val="20"/>
        </w:rPr>
        <w:t>n+b</w:t>
      </w:r>
      <w:proofErr w:type="spellEnd"/>
      <w:r w:rsidR="004601A2">
        <w:rPr>
          <w:rFonts w:eastAsiaTheme="minorEastAsia"/>
          <w:color w:val="000000" w:themeColor="text1"/>
          <w:sz w:val="20"/>
          <w:szCs w:val="20"/>
        </w:rPr>
        <w:t xml:space="preserve">] of the time window. </w:t>
      </w:r>
      <w:r w:rsidR="00FC2FFE">
        <w:rPr>
          <w:rFonts w:eastAsiaTheme="minorEastAsia"/>
          <w:color w:val="000000" w:themeColor="text1"/>
          <w:sz w:val="20"/>
          <w:szCs w:val="20"/>
        </w:rPr>
        <w:t>However, any</w:t>
      </w:r>
      <w:r w:rsidR="00FC2FFE" w:rsidRPr="00FC2FFE">
        <w:rPr>
          <w:rFonts w:eastAsiaTheme="minorEastAsia"/>
          <w:color w:val="000000" w:themeColor="text1"/>
          <w:sz w:val="20"/>
          <w:szCs w:val="20"/>
        </w:rPr>
        <w:t xml:space="preserve"> additional constraints on UE’s choice of values for a and b are </w:t>
      </w:r>
      <w:r w:rsidR="00FC2FFE">
        <w:rPr>
          <w:rFonts w:eastAsiaTheme="minorEastAsia"/>
          <w:color w:val="000000" w:themeColor="text1"/>
          <w:sz w:val="20"/>
          <w:szCs w:val="20"/>
        </w:rPr>
        <w:t xml:space="preserve">still TBD, whether CR should be evaluated for each (re)transmission, and whether </w:t>
      </w:r>
      <w:r w:rsidR="00FC2FFE" w:rsidRPr="004547F5">
        <w:rPr>
          <w:rFonts w:eastAsiaTheme="minorEastAsia"/>
          <w:color w:val="auto"/>
          <w:sz w:val="20"/>
          <w:szCs w:val="20"/>
        </w:rPr>
        <w:t>the slot index is based on physical or logical slots.</w:t>
      </w:r>
    </w:p>
    <w:p w14:paraId="317D22C7" w14:textId="36151F83" w:rsidR="00F74160" w:rsidRDefault="00FC2FFE" w:rsidP="004547F5">
      <w:pPr>
        <w:pStyle w:val="BodyText"/>
        <w:spacing w:after="240"/>
        <w:rPr>
          <w:rFonts w:eastAsiaTheme="minorEastAsia"/>
          <w:color w:val="auto"/>
          <w:sz w:val="20"/>
          <w:szCs w:val="20"/>
        </w:rPr>
      </w:pPr>
      <w:r w:rsidRPr="004547F5">
        <w:rPr>
          <w:rFonts w:eastAsiaTheme="minorEastAsia"/>
          <w:color w:val="auto"/>
          <w:sz w:val="20"/>
          <w:szCs w:val="20"/>
        </w:rPr>
        <w:t xml:space="preserve">In LTE-V2X, </w:t>
      </w:r>
      <w:r w:rsidR="00CA5F3B" w:rsidRPr="004547F5">
        <w:rPr>
          <w:rFonts w:eastAsiaTheme="minorEastAsia"/>
          <w:color w:val="auto"/>
          <w:sz w:val="20"/>
          <w:szCs w:val="20"/>
        </w:rPr>
        <w:t xml:space="preserve">since only </w:t>
      </w:r>
      <w:r w:rsidR="00695CCB" w:rsidRPr="004547F5">
        <w:rPr>
          <w:rFonts w:eastAsiaTheme="minorEastAsia"/>
          <w:color w:val="auto"/>
          <w:sz w:val="20"/>
          <w:szCs w:val="20"/>
        </w:rPr>
        <w:t xml:space="preserve">periodic traffic </w:t>
      </w:r>
      <w:r w:rsidR="00CA5F3B" w:rsidRPr="004547F5">
        <w:rPr>
          <w:rFonts w:eastAsiaTheme="minorEastAsia"/>
          <w:color w:val="auto"/>
          <w:sz w:val="20"/>
          <w:szCs w:val="20"/>
        </w:rPr>
        <w:t xml:space="preserve">is </w:t>
      </w:r>
      <w:r w:rsidR="00CA5F3B" w:rsidRPr="004547F5">
        <w:rPr>
          <w:rFonts w:eastAsiaTheme="minorEastAsia"/>
          <w:color w:val="auto"/>
          <w:sz w:val="20"/>
        </w:rPr>
        <w:t xml:space="preserve">predominantly </w:t>
      </w:r>
      <w:r w:rsidR="00CA5F3B" w:rsidRPr="004547F5">
        <w:rPr>
          <w:rFonts w:eastAsiaTheme="minorEastAsia"/>
          <w:color w:val="auto"/>
          <w:sz w:val="20"/>
          <w:szCs w:val="20"/>
        </w:rPr>
        <w:t>transmitted</w:t>
      </w:r>
      <w:r w:rsidR="00695CCB" w:rsidRPr="004547F5">
        <w:rPr>
          <w:rFonts w:eastAsiaTheme="minorEastAsia"/>
          <w:color w:val="auto"/>
          <w:sz w:val="20"/>
          <w:szCs w:val="20"/>
        </w:rPr>
        <w:t xml:space="preserve">, </w:t>
      </w:r>
      <w:r w:rsidRPr="004547F5">
        <w:rPr>
          <w:rFonts w:eastAsiaTheme="minorEastAsia"/>
          <w:color w:val="auto"/>
          <w:sz w:val="20"/>
          <w:szCs w:val="20"/>
        </w:rPr>
        <w:t>Tx-</w:t>
      </w:r>
      <w:r w:rsidR="00695CCB" w:rsidRPr="004547F5">
        <w:rPr>
          <w:rFonts w:eastAsiaTheme="minorEastAsia"/>
          <w:color w:val="auto"/>
          <w:sz w:val="20"/>
          <w:szCs w:val="20"/>
        </w:rPr>
        <w:t xml:space="preserve">UE can </w:t>
      </w:r>
      <w:r w:rsidR="00CA5F3B" w:rsidRPr="004547F5">
        <w:rPr>
          <w:rFonts w:eastAsiaTheme="minorEastAsia"/>
          <w:color w:val="auto"/>
          <w:sz w:val="20"/>
          <w:szCs w:val="20"/>
        </w:rPr>
        <w:t xml:space="preserve">easily </w:t>
      </w:r>
      <w:r w:rsidR="00695CCB" w:rsidRPr="004547F5">
        <w:rPr>
          <w:rFonts w:eastAsiaTheme="minorEastAsia"/>
          <w:color w:val="auto"/>
          <w:sz w:val="20"/>
          <w:szCs w:val="20"/>
        </w:rPr>
        <w:t>predict how much resource</w:t>
      </w:r>
      <w:r w:rsidR="00CA5F3B" w:rsidRPr="004547F5">
        <w:rPr>
          <w:rFonts w:eastAsiaTheme="minorEastAsia"/>
          <w:color w:val="auto"/>
          <w:sz w:val="20"/>
          <w:szCs w:val="20"/>
        </w:rPr>
        <w:t>s</w:t>
      </w:r>
      <w:r w:rsidR="00695CCB" w:rsidRPr="004547F5">
        <w:rPr>
          <w:rFonts w:eastAsiaTheme="minorEastAsia"/>
          <w:color w:val="auto"/>
          <w:sz w:val="20"/>
          <w:szCs w:val="20"/>
        </w:rPr>
        <w:t xml:space="preserve"> it will </w:t>
      </w:r>
      <w:r w:rsidR="00CA5F3B" w:rsidRPr="004547F5">
        <w:rPr>
          <w:rFonts w:eastAsiaTheme="minorEastAsia"/>
          <w:color w:val="auto"/>
          <w:sz w:val="20"/>
          <w:szCs w:val="20"/>
        </w:rPr>
        <w:t>need for future transmissions</w:t>
      </w:r>
      <w:r w:rsidR="00695CCB" w:rsidRPr="004547F5">
        <w:rPr>
          <w:rFonts w:eastAsiaTheme="minorEastAsia"/>
          <w:color w:val="auto"/>
          <w:sz w:val="20"/>
          <w:szCs w:val="20"/>
        </w:rPr>
        <w:t xml:space="preserve">. While in NR-V2X, aperiodic traffic </w:t>
      </w:r>
      <w:r w:rsidR="00CA5F3B" w:rsidRPr="004547F5">
        <w:rPr>
          <w:rFonts w:eastAsiaTheme="minorEastAsia"/>
          <w:color w:val="auto"/>
          <w:sz w:val="20"/>
          <w:szCs w:val="20"/>
        </w:rPr>
        <w:t>could occur quite frequently</w:t>
      </w:r>
      <w:r w:rsidR="00695CCB" w:rsidRPr="004547F5">
        <w:rPr>
          <w:rFonts w:eastAsiaTheme="minorEastAsia"/>
          <w:color w:val="auto"/>
          <w:sz w:val="20"/>
          <w:szCs w:val="20"/>
        </w:rPr>
        <w:t xml:space="preserve"> and it </w:t>
      </w:r>
      <w:r w:rsidR="00CA5F3B" w:rsidRPr="004547F5">
        <w:rPr>
          <w:rFonts w:eastAsiaTheme="minorEastAsia"/>
          <w:color w:val="auto"/>
          <w:sz w:val="20"/>
          <w:szCs w:val="20"/>
        </w:rPr>
        <w:t>will be hard</w:t>
      </w:r>
      <w:r w:rsidR="00695CCB" w:rsidRPr="004547F5">
        <w:rPr>
          <w:rFonts w:eastAsiaTheme="minorEastAsia"/>
          <w:color w:val="auto"/>
          <w:sz w:val="20"/>
          <w:szCs w:val="20"/>
        </w:rPr>
        <w:t xml:space="preserve"> for UE to estimate when the packet will arrive and how large the packet is. Therefore, UE cannot </w:t>
      </w:r>
      <w:r w:rsidR="001D18BB" w:rsidRPr="004547F5">
        <w:rPr>
          <w:rFonts w:eastAsiaTheme="minorEastAsia"/>
          <w:color w:val="auto"/>
          <w:sz w:val="20"/>
          <w:szCs w:val="20"/>
        </w:rPr>
        <w:t xml:space="preserve">accurately </w:t>
      </w:r>
      <w:r w:rsidR="00695CCB" w:rsidRPr="004547F5">
        <w:rPr>
          <w:rFonts w:eastAsiaTheme="minorEastAsia"/>
          <w:color w:val="auto"/>
          <w:sz w:val="20"/>
          <w:szCs w:val="20"/>
        </w:rPr>
        <w:t xml:space="preserve">calculate CR </w:t>
      </w:r>
      <w:r w:rsidR="001D18BB" w:rsidRPr="004547F5">
        <w:rPr>
          <w:rFonts w:eastAsiaTheme="minorEastAsia"/>
          <w:color w:val="auto"/>
          <w:sz w:val="20"/>
          <w:szCs w:val="20"/>
        </w:rPr>
        <w:t xml:space="preserve">for </w:t>
      </w:r>
      <w:r w:rsidR="00095CF1" w:rsidRPr="004547F5">
        <w:rPr>
          <w:rFonts w:eastAsiaTheme="minorEastAsia"/>
          <w:color w:val="auto"/>
          <w:sz w:val="20"/>
          <w:szCs w:val="20"/>
        </w:rPr>
        <w:t xml:space="preserve">the </w:t>
      </w:r>
      <w:r w:rsidR="001D18BB" w:rsidRPr="004547F5">
        <w:rPr>
          <w:rFonts w:eastAsiaTheme="minorEastAsia"/>
          <w:color w:val="auto"/>
          <w:sz w:val="20"/>
          <w:szCs w:val="20"/>
        </w:rPr>
        <w:t xml:space="preserve">future </w:t>
      </w:r>
      <w:r w:rsidR="00714BC5" w:rsidRPr="004547F5">
        <w:rPr>
          <w:rFonts w:eastAsiaTheme="minorEastAsia"/>
          <w:color w:val="auto"/>
          <w:sz w:val="20"/>
          <w:szCs w:val="20"/>
        </w:rPr>
        <w:t xml:space="preserve">packets </w:t>
      </w:r>
      <w:proofErr w:type="spellStart"/>
      <w:r w:rsidR="00714BC5" w:rsidRPr="004547F5">
        <w:rPr>
          <w:rFonts w:eastAsiaTheme="minorEastAsia"/>
          <w:color w:val="auto"/>
          <w:sz w:val="20"/>
          <w:szCs w:val="20"/>
        </w:rPr>
        <w:t>TBs.</w:t>
      </w:r>
      <w:proofErr w:type="spellEnd"/>
      <w:r w:rsidR="00714BC5" w:rsidRPr="004547F5">
        <w:rPr>
          <w:rFonts w:eastAsiaTheme="minorEastAsia"/>
          <w:color w:val="auto"/>
          <w:sz w:val="20"/>
          <w:szCs w:val="20"/>
        </w:rPr>
        <w:t xml:space="preserve"> Even for (re)transmissions of </w:t>
      </w:r>
      <w:r w:rsidR="00714BC5" w:rsidRPr="004547F5">
        <w:rPr>
          <w:rFonts w:eastAsiaTheme="minorEastAsia"/>
          <w:color w:val="auto"/>
          <w:sz w:val="20"/>
          <w:szCs w:val="20"/>
        </w:rPr>
        <w:lastRenderedPageBreak/>
        <w:t xml:space="preserve">the current TB, it is also not possible to know how many retransmissions are needed (although there is a max number of 32 retransmissions) when HARQ feedback is enabled. The only thing that </w:t>
      </w:r>
      <w:r w:rsidR="00F74160">
        <w:rPr>
          <w:rFonts w:eastAsiaTheme="minorEastAsia"/>
          <w:color w:val="auto"/>
          <w:sz w:val="20"/>
          <w:szCs w:val="20"/>
        </w:rPr>
        <w:t>can be</w:t>
      </w:r>
      <w:r w:rsidR="00714BC5" w:rsidRPr="004547F5">
        <w:rPr>
          <w:rFonts w:eastAsiaTheme="minorEastAsia"/>
          <w:color w:val="auto"/>
          <w:sz w:val="20"/>
          <w:szCs w:val="20"/>
        </w:rPr>
        <w:t xml:space="preserve"> certain is the number of sub-channels and number of (re)transmissions (up to 3) for the current TB within the resource selection window. </w:t>
      </w:r>
      <w:r w:rsidR="00F74160">
        <w:rPr>
          <w:rFonts w:eastAsiaTheme="minorEastAsia"/>
          <w:color w:val="auto"/>
          <w:sz w:val="20"/>
          <w:szCs w:val="20"/>
        </w:rPr>
        <w:t xml:space="preserve">Even though, at the time of CR evaluation in slot </w:t>
      </w:r>
      <w:r w:rsidR="00F74160" w:rsidRPr="00F74160">
        <w:rPr>
          <w:rFonts w:eastAsiaTheme="minorEastAsia"/>
          <w:i/>
          <w:iCs/>
          <w:color w:val="auto"/>
          <w:sz w:val="20"/>
          <w:szCs w:val="20"/>
        </w:rPr>
        <w:t>n</w:t>
      </w:r>
      <w:r w:rsidR="00F74160">
        <w:rPr>
          <w:rFonts w:eastAsiaTheme="minorEastAsia"/>
          <w:color w:val="auto"/>
          <w:sz w:val="20"/>
          <w:szCs w:val="20"/>
        </w:rPr>
        <w:t xml:space="preserve">, the exact size and time location of these 3 future resources likely still have not been chosen. As such, the </w:t>
      </w:r>
      <w:r w:rsidR="006A2CAC">
        <w:rPr>
          <w:rFonts w:eastAsiaTheme="minorEastAsia"/>
          <w:color w:val="auto"/>
          <w:sz w:val="20"/>
          <w:szCs w:val="20"/>
        </w:rPr>
        <w:t xml:space="preserve">future time window [n, </w:t>
      </w:r>
      <w:proofErr w:type="spellStart"/>
      <w:r w:rsidR="006A2CAC">
        <w:rPr>
          <w:rFonts w:eastAsiaTheme="minorEastAsia"/>
          <w:color w:val="auto"/>
          <w:sz w:val="20"/>
          <w:szCs w:val="20"/>
        </w:rPr>
        <w:t>n+b</w:t>
      </w:r>
      <w:proofErr w:type="spellEnd"/>
      <w:r w:rsidR="006A2CAC">
        <w:rPr>
          <w:rFonts w:eastAsiaTheme="minorEastAsia"/>
          <w:color w:val="auto"/>
          <w:sz w:val="20"/>
          <w:szCs w:val="20"/>
        </w:rPr>
        <w:t>] cannot be accurately determined. However, according to the current definition, a+b+1 must be 1000 or 1000</w:t>
      </w:r>
      <w:r w:rsidR="006A2CAC" w:rsidRPr="006A2CAC">
        <w:rPr>
          <w:rFonts w:eastAsiaTheme="minorEastAsia"/>
          <w:color w:val="auto"/>
          <w:sz w:val="20"/>
          <w:szCs w:val="20"/>
        </w:rPr>
        <w:t>·2</w:t>
      </w:r>
      <w:r w:rsidR="006A2CAC" w:rsidRPr="006A2CAC">
        <w:rPr>
          <w:rFonts w:eastAsiaTheme="minorEastAsia"/>
          <w:color w:val="auto"/>
          <w:sz w:val="20"/>
          <w:szCs w:val="20"/>
          <w:vertAlign w:val="superscript"/>
        </w:rPr>
        <w:t>µ</w:t>
      </w:r>
      <w:r w:rsidR="006A2CAC" w:rsidRPr="006A2CAC">
        <w:rPr>
          <w:rFonts w:eastAsiaTheme="minorEastAsia"/>
          <w:color w:val="auto"/>
          <w:sz w:val="20"/>
          <w:szCs w:val="20"/>
        </w:rPr>
        <w:t xml:space="preserve"> slots</w:t>
      </w:r>
      <w:r w:rsidR="006A2CAC">
        <w:rPr>
          <w:rFonts w:eastAsiaTheme="minorEastAsia"/>
          <w:color w:val="auto"/>
          <w:sz w:val="20"/>
          <w:szCs w:val="20"/>
        </w:rPr>
        <w:t>. Since the value b cannot be determine, we suggest let b be zero at least for aperiodic traffic (i.e. when there is no need of resource reservation for future TBs).</w:t>
      </w:r>
    </w:p>
    <w:p w14:paraId="2EF4542C" w14:textId="65C13403" w:rsidR="00695CCB" w:rsidRPr="004547F5" w:rsidRDefault="00695CCB" w:rsidP="004547F5">
      <w:pPr>
        <w:pStyle w:val="BodyText"/>
        <w:spacing w:after="240"/>
        <w:rPr>
          <w:rFonts w:eastAsiaTheme="minorEastAsia"/>
          <w:b/>
          <w:i/>
          <w:color w:val="auto"/>
          <w:sz w:val="20"/>
          <w:szCs w:val="20"/>
        </w:rPr>
      </w:pPr>
      <w:r w:rsidRPr="006A2CAC">
        <w:rPr>
          <w:rFonts w:eastAsiaTheme="minorEastAsia"/>
          <w:b/>
          <w:i/>
          <w:color w:val="auto"/>
          <w:sz w:val="20"/>
          <w:szCs w:val="20"/>
        </w:rPr>
        <w:t xml:space="preserve">Proposal </w:t>
      </w:r>
      <w:r w:rsidR="00132CA4" w:rsidRPr="006A2CAC">
        <w:rPr>
          <w:rFonts w:eastAsiaTheme="minorEastAsia"/>
          <w:b/>
          <w:i/>
          <w:color w:val="auto"/>
          <w:sz w:val="20"/>
          <w:szCs w:val="20"/>
        </w:rPr>
        <w:t>1</w:t>
      </w:r>
      <w:r w:rsidRPr="006A2CAC">
        <w:rPr>
          <w:rFonts w:eastAsiaTheme="minorEastAsia"/>
          <w:b/>
          <w:i/>
          <w:color w:val="auto"/>
          <w:sz w:val="20"/>
          <w:szCs w:val="20"/>
        </w:rPr>
        <w:t xml:space="preserve">: </w:t>
      </w:r>
      <w:r w:rsidR="006A2CAC" w:rsidRPr="006A2CAC">
        <w:rPr>
          <w:rFonts w:eastAsiaTheme="minorEastAsia"/>
          <w:b/>
          <w:i/>
          <w:color w:val="000000" w:themeColor="text1"/>
          <w:sz w:val="20"/>
          <w:szCs w:val="20"/>
        </w:rPr>
        <w:t>Unlike LTE-V2X, CR evaluation in NR-V2X should be limited within the period of [n-a, n-1], due to unpredictable nature of aperiodic traffic in future transmissions. That is, at least for aperiodic traffic, b is set to zero.</w:t>
      </w:r>
    </w:p>
    <w:p w14:paraId="7F095BCE" w14:textId="1AB41C8C" w:rsidR="00D92E2E" w:rsidRDefault="00D92E2E" w:rsidP="004547F5">
      <w:pPr>
        <w:pStyle w:val="BodyText"/>
        <w:spacing w:after="240"/>
        <w:rPr>
          <w:rFonts w:eastAsiaTheme="minorEastAsia"/>
          <w:color w:val="000000" w:themeColor="text1"/>
          <w:sz w:val="20"/>
          <w:szCs w:val="20"/>
        </w:rPr>
      </w:pPr>
      <w:r w:rsidRPr="004547F5">
        <w:rPr>
          <w:rFonts w:eastAsiaTheme="minorEastAsia"/>
          <w:color w:val="auto"/>
          <w:sz w:val="20"/>
          <w:szCs w:val="20"/>
        </w:rPr>
        <w:t xml:space="preserve">As mentioned above, beside the unpredictability nature of aperiodic traffic arrival, Tx-UE also cannot </w:t>
      </w:r>
      <w:r>
        <w:rPr>
          <w:rFonts w:eastAsiaTheme="minorEastAsia"/>
          <w:color w:val="000000" w:themeColor="text1"/>
          <w:sz w:val="20"/>
          <w:szCs w:val="20"/>
        </w:rPr>
        <w:t>make any assumption in number of retransmissions needed for the current TB when HARQ feedback is enable. Therefore, it is reasonable that CR should be evaluated for each (re)transmission.</w:t>
      </w:r>
      <w:r w:rsidR="004547F5">
        <w:rPr>
          <w:rFonts w:eastAsiaTheme="minorEastAsia"/>
          <w:color w:val="000000" w:themeColor="text1"/>
          <w:sz w:val="20"/>
          <w:szCs w:val="20"/>
        </w:rPr>
        <w:t xml:space="preserve"> Furthermore, </w:t>
      </w:r>
      <w:r w:rsidR="00A51B85">
        <w:rPr>
          <w:rFonts w:eastAsiaTheme="minorEastAsia"/>
          <w:color w:val="000000" w:themeColor="text1"/>
          <w:sz w:val="20"/>
          <w:szCs w:val="20"/>
        </w:rPr>
        <w:t xml:space="preserve">since ITS carriers in 5.9GHz are dedicated for V2X communication, all radio resources in both time and frequency domains will be (pre-)configured for sidelink operation. In this scenario, there is no difference in CR evaluation between logical and physical slots. In a shared carrier scenario with mixed Uu and SL slots / operations, the CR evaluation over the logical slots seems </w:t>
      </w:r>
      <w:r w:rsidR="006A58CD">
        <w:rPr>
          <w:rFonts w:eastAsiaTheme="minorEastAsia"/>
          <w:color w:val="000000" w:themeColor="text1"/>
          <w:sz w:val="20"/>
          <w:szCs w:val="20"/>
        </w:rPr>
        <w:t>would also work. But, since resource pool definition, sensing window, selection window, PDBs, and resource indication in SCI are all counted in physical slots, it would seem simpler to use the same for the CR evaluation window definition.</w:t>
      </w:r>
    </w:p>
    <w:p w14:paraId="4F50F307" w14:textId="45A4A9F4" w:rsidR="00D92E2E" w:rsidRPr="006A58CD" w:rsidRDefault="00D92E2E" w:rsidP="004547F5">
      <w:pPr>
        <w:pStyle w:val="BodyText"/>
        <w:spacing w:after="240"/>
        <w:rPr>
          <w:rFonts w:eastAsiaTheme="minorEastAsia"/>
          <w:b/>
          <w:i/>
          <w:color w:val="auto"/>
          <w:sz w:val="20"/>
          <w:szCs w:val="20"/>
        </w:rPr>
      </w:pPr>
      <w:r w:rsidRPr="006A58CD">
        <w:rPr>
          <w:rFonts w:eastAsiaTheme="minorEastAsia"/>
          <w:b/>
          <w:i/>
          <w:color w:val="auto"/>
          <w:sz w:val="20"/>
          <w:szCs w:val="20"/>
        </w:rPr>
        <w:t>Proposal 2: CR should be evaluated for each (re)transmission</w:t>
      </w:r>
      <w:r w:rsidR="004547F5" w:rsidRPr="006A58CD">
        <w:rPr>
          <w:rFonts w:eastAsiaTheme="minorEastAsia"/>
          <w:b/>
          <w:i/>
          <w:color w:val="auto"/>
          <w:sz w:val="20"/>
          <w:szCs w:val="20"/>
        </w:rPr>
        <w:t xml:space="preserve"> and the slot index should be based on physical slot index.</w:t>
      </w:r>
    </w:p>
    <w:p w14:paraId="3A91C9E1" w14:textId="6FFDD55C" w:rsidR="00BC0557" w:rsidRPr="006A58CD" w:rsidRDefault="00695CCB" w:rsidP="00BC0557">
      <w:pPr>
        <w:spacing w:after="120"/>
        <w:rPr>
          <w:b/>
          <w:sz w:val="20"/>
          <w:szCs w:val="20"/>
        </w:rPr>
      </w:pPr>
      <w:r w:rsidRPr="006A58CD">
        <w:rPr>
          <w:b/>
          <w:sz w:val="20"/>
          <w:szCs w:val="20"/>
        </w:rPr>
        <w:t>4</w:t>
      </w:r>
      <w:r w:rsidR="00BC0557" w:rsidRPr="006A58CD">
        <w:rPr>
          <w:b/>
          <w:sz w:val="20"/>
          <w:szCs w:val="20"/>
        </w:rPr>
        <w:t>. Conclusion</w:t>
      </w:r>
    </w:p>
    <w:p w14:paraId="0188F143" w14:textId="416014C5" w:rsidR="00695CCB" w:rsidRPr="00204D5B" w:rsidRDefault="00695CCB" w:rsidP="00695CCB">
      <w:pPr>
        <w:pStyle w:val="BodyText"/>
        <w:rPr>
          <w:color w:val="000000" w:themeColor="text1"/>
          <w:sz w:val="20"/>
        </w:rPr>
      </w:pPr>
      <w:r w:rsidRPr="00204D5B">
        <w:rPr>
          <w:color w:val="000000" w:themeColor="text1"/>
          <w:sz w:val="20"/>
        </w:rPr>
        <w:t>I</w:t>
      </w:r>
      <w:r w:rsidRPr="00204D5B">
        <w:rPr>
          <w:rFonts w:hint="eastAsia"/>
          <w:color w:val="000000" w:themeColor="text1"/>
          <w:sz w:val="20"/>
        </w:rPr>
        <w:t xml:space="preserve">n </w:t>
      </w:r>
      <w:r w:rsidRPr="00204D5B">
        <w:rPr>
          <w:color w:val="000000" w:themeColor="text1"/>
          <w:sz w:val="20"/>
        </w:rPr>
        <w:t xml:space="preserve">this contribution, </w:t>
      </w:r>
      <w:r w:rsidR="00204D5B" w:rsidRPr="00204D5B">
        <w:rPr>
          <w:color w:val="000000" w:themeColor="text1"/>
          <w:sz w:val="20"/>
        </w:rPr>
        <w:t xml:space="preserve">potential </w:t>
      </w:r>
      <w:r w:rsidRPr="00204D5B">
        <w:rPr>
          <w:color w:val="000000" w:themeColor="text1"/>
          <w:sz w:val="20"/>
        </w:rPr>
        <w:t>congestion control mechanism</w:t>
      </w:r>
      <w:r w:rsidR="00204D5B" w:rsidRPr="00204D5B">
        <w:rPr>
          <w:color w:val="000000" w:themeColor="text1"/>
          <w:sz w:val="20"/>
        </w:rPr>
        <w:t>s</w:t>
      </w:r>
      <w:r w:rsidRPr="00204D5B">
        <w:rPr>
          <w:color w:val="000000" w:themeColor="text1"/>
          <w:sz w:val="20"/>
        </w:rPr>
        <w:t xml:space="preserve"> </w:t>
      </w:r>
      <w:r w:rsidR="00204D5B" w:rsidRPr="00204D5B">
        <w:rPr>
          <w:color w:val="000000" w:themeColor="text1"/>
          <w:sz w:val="20"/>
        </w:rPr>
        <w:t>for</w:t>
      </w:r>
      <w:r w:rsidRPr="00204D5B">
        <w:rPr>
          <w:color w:val="000000" w:themeColor="text1"/>
          <w:sz w:val="20"/>
        </w:rPr>
        <w:t xml:space="preserve"> NR-V2X </w:t>
      </w:r>
      <w:r w:rsidR="00204D5B" w:rsidRPr="00204D5B">
        <w:rPr>
          <w:color w:val="000000" w:themeColor="text1"/>
          <w:sz w:val="20"/>
        </w:rPr>
        <w:t>are</w:t>
      </w:r>
      <w:r w:rsidRPr="00204D5B">
        <w:rPr>
          <w:color w:val="000000" w:themeColor="text1"/>
          <w:sz w:val="20"/>
        </w:rPr>
        <w:t xml:space="preserve"> discussed. The following observations and proposals are given.</w:t>
      </w:r>
    </w:p>
    <w:p w14:paraId="37D901DE" w14:textId="1E099253" w:rsidR="00695CCB" w:rsidRDefault="00695CCB" w:rsidP="00695CCB">
      <w:pPr>
        <w:pStyle w:val="BodyText"/>
        <w:rPr>
          <w:sz w:val="20"/>
        </w:rPr>
      </w:pPr>
    </w:p>
    <w:p w14:paraId="2071FFC9" w14:textId="45B7C9A2" w:rsidR="009408CB" w:rsidRPr="004547F5" w:rsidRDefault="006A2CAC" w:rsidP="009408CB">
      <w:pPr>
        <w:pStyle w:val="BodyText"/>
        <w:spacing w:after="240"/>
        <w:rPr>
          <w:rFonts w:eastAsiaTheme="minorEastAsia"/>
          <w:b/>
          <w:i/>
          <w:color w:val="auto"/>
          <w:sz w:val="20"/>
          <w:szCs w:val="20"/>
        </w:rPr>
      </w:pPr>
      <w:r w:rsidRPr="006A2CAC">
        <w:rPr>
          <w:rFonts w:eastAsiaTheme="minorEastAsia"/>
          <w:b/>
          <w:i/>
          <w:color w:val="auto"/>
          <w:sz w:val="20"/>
          <w:szCs w:val="20"/>
        </w:rPr>
        <w:t xml:space="preserve">Proposal 1: </w:t>
      </w:r>
      <w:r w:rsidRPr="006A2CAC">
        <w:rPr>
          <w:rFonts w:eastAsiaTheme="minorEastAsia"/>
          <w:b/>
          <w:i/>
          <w:color w:val="000000" w:themeColor="text1"/>
          <w:sz w:val="20"/>
          <w:szCs w:val="20"/>
        </w:rPr>
        <w:t>Unlike LTE-V2X, CR evaluation in NR-V2X should be limited within the period of [n-a, n-1], due to unpredictable nature of aperiodic traffic in future transmissions. That is, at least for aperiodic traffic, b is set to zero.</w:t>
      </w:r>
    </w:p>
    <w:p w14:paraId="3A6D25FD" w14:textId="77777777" w:rsidR="009408CB" w:rsidRPr="006A58CD" w:rsidRDefault="009408CB" w:rsidP="009408CB">
      <w:pPr>
        <w:pStyle w:val="BodyText"/>
        <w:spacing w:after="240"/>
        <w:rPr>
          <w:rFonts w:eastAsiaTheme="minorEastAsia"/>
          <w:b/>
          <w:i/>
          <w:color w:val="auto"/>
          <w:sz w:val="20"/>
          <w:szCs w:val="20"/>
        </w:rPr>
      </w:pPr>
      <w:r w:rsidRPr="006A58CD">
        <w:rPr>
          <w:rFonts w:eastAsiaTheme="minorEastAsia"/>
          <w:b/>
          <w:i/>
          <w:color w:val="auto"/>
          <w:sz w:val="20"/>
          <w:szCs w:val="20"/>
        </w:rPr>
        <w:t>Proposal 2: CR should be evaluated for each (re)transmission and the slot index should be based on physical slot index.</w:t>
      </w:r>
    </w:p>
    <w:p w14:paraId="37E830A0" w14:textId="7F963EB1" w:rsidR="00BC0557" w:rsidRPr="004A03BC" w:rsidRDefault="00BC0557" w:rsidP="00BC0557">
      <w:pPr>
        <w:spacing w:after="120"/>
        <w:rPr>
          <w:b/>
          <w:sz w:val="20"/>
          <w:szCs w:val="20"/>
        </w:rPr>
      </w:pPr>
      <w:r w:rsidRPr="004A03BC">
        <w:rPr>
          <w:b/>
          <w:sz w:val="20"/>
          <w:szCs w:val="20"/>
        </w:rPr>
        <w:t>4. References</w:t>
      </w:r>
    </w:p>
    <w:p w14:paraId="6323FEAC" w14:textId="7A082E51" w:rsid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140CD4">
        <w:rPr>
          <w:rFonts w:ascii="Arial" w:hAnsi="Arial" w:cs="Arial"/>
          <w:szCs w:val="20"/>
        </w:rPr>
        <w:t>RP-190766 “New WID on 5G V2X with NR sidelink”, RAN#83, LG Electronics, Huawei</w:t>
      </w:r>
    </w:p>
    <w:p w14:paraId="26E5D955" w14:textId="5989CEEC" w:rsidR="00C35EC9" w:rsidRPr="00695CCB" w:rsidRDefault="00C35EC9"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C35EC9">
        <w:rPr>
          <w:rFonts w:ascii="Arial" w:hAnsi="Arial" w:cs="Arial"/>
          <w:szCs w:val="20"/>
        </w:rPr>
        <w:t>RP-190984 “Revised WID on 5G V2X with NR sidelink”, RAN#84, LG Electronics</w:t>
      </w:r>
    </w:p>
    <w:p w14:paraId="2DDAE50D" w14:textId="480A4D50" w:rsidR="001F5429" w:rsidRPr="00695CCB" w:rsidRDefault="001F5429"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Pr="00695CCB">
        <w:rPr>
          <w:rFonts w:ascii="Arial" w:hAnsi="Arial" w:cs="Arial"/>
          <w:szCs w:val="20"/>
        </w:rPr>
        <w:t>3</w:t>
      </w:r>
      <w:r>
        <w:rPr>
          <w:rFonts w:ascii="Arial" w:hAnsi="Arial" w:cs="Arial"/>
          <w:szCs w:val="20"/>
        </w:rPr>
        <w:t>8</w:t>
      </w:r>
      <w:r w:rsidRPr="00695CCB">
        <w:rPr>
          <w:rFonts w:ascii="Arial" w:hAnsi="Arial" w:cs="Arial"/>
          <w:szCs w:val="20"/>
        </w:rPr>
        <w:t>.</w:t>
      </w:r>
      <w:r>
        <w:rPr>
          <w:rFonts w:ascii="Arial" w:hAnsi="Arial" w:cs="Arial"/>
          <w:szCs w:val="20"/>
        </w:rPr>
        <w:t>215 “Physical layer measurements”, V16.0.</w:t>
      </w:r>
      <w:r w:rsidR="00F140EB">
        <w:rPr>
          <w:rFonts w:ascii="Arial" w:hAnsi="Arial" w:cs="Arial"/>
          <w:szCs w:val="20"/>
        </w:rPr>
        <w:t>1</w:t>
      </w:r>
      <w:r>
        <w:rPr>
          <w:rFonts w:ascii="Arial" w:hAnsi="Arial" w:cs="Arial"/>
          <w:szCs w:val="20"/>
        </w:rPr>
        <w:t xml:space="preserve"> (2020-01)</w:t>
      </w:r>
    </w:p>
    <w:sectPr w:rsidR="001F5429" w:rsidRPr="00695CC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495FE" w14:textId="77777777" w:rsidR="00FA1B27" w:rsidRDefault="00FA1B27" w:rsidP="00511BDE">
      <w:r>
        <w:separator/>
      </w:r>
    </w:p>
  </w:endnote>
  <w:endnote w:type="continuationSeparator" w:id="0">
    <w:p w14:paraId="62690913" w14:textId="77777777" w:rsidR="00FA1B27" w:rsidRDefault="00FA1B27"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B94D9" w14:textId="77777777" w:rsidR="00FA1B27" w:rsidRDefault="00FA1B27" w:rsidP="00511BDE">
      <w:r>
        <w:separator/>
      </w:r>
    </w:p>
  </w:footnote>
  <w:footnote w:type="continuationSeparator" w:id="0">
    <w:p w14:paraId="53522B3A" w14:textId="77777777" w:rsidR="00FA1B27" w:rsidRDefault="00FA1B27"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2"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1"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3"/>
  </w:num>
  <w:num w:numId="4">
    <w:abstractNumId w:val="15"/>
  </w:num>
  <w:num w:numId="5">
    <w:abstractNumId w:val="4"/>
  </w:num>
  <w:num w:numId="6">
    <w:abstractNumId w:val="15"/>
  </w:num>
  <w:num w:numId="7">
    <w:abstractNumId w:val="15"/>
  </w:num>
  <w:num w:numId="8">
    <w:abstractNumId w:val="15"/>
  </w:num>
  <w:num w:numId="9">
    <w:abstractNumId w:val="15"/>
  </w:num>
  <w:num w:numId="10">
    <w:abstractNumId w:val="21"/>
  </w:num>
  <w:num w:numId="11">
    <w:abstractNumId w:val="25"/>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7"/>
  </w:num>
  <w:num w:numId="19">
    <w:abstractNumId w:val="29"/>
  </w:num>
  <w:num w:numId="20">
    <w:abstractNumId w:val="11"/>
  </w:num>
  <w:num w:numId="21">
    <w:abstractNumId w:val="30"/>
  </w:num>
  <w:num w:numId="22">
    <w:abstractNumId w:val="26"/>
  </w:num>
  <w:num w:numId="23">
    <w:abstractNumId w:val="28"/>
  </w:num>
  <w:num w:numId="24">
    <w:abstractNumId w:val="5"/>
  </w:num>
  <w:num w:numId="25">
    <w:abstractNumId w:val="22"/>
  </w:num>
  <w:num w:numId="26">
    <w:abstractNumId w:val="7"/>
  </w:num>
  <w:num w:numId="27">
    <w:abstractNumId w:val="14"/>
  </w:num>
  <w:num w:numId="28">
    <w:abstractNumId w:val="20"/>
  </w:num>
  <w:num w:numId="29">
    <w:abstractNumId w:val="3"/>
  </w:num>
  <w:num w:numId="30">
    <w:abstractNumId w:val="13"/>
  </w:num>
  <w:num w:numId="31">
    <w:abstractNumId w:val="19"/>
  </w:num>
  <w:num w:numId="32">
    <w:abstractNumId w:val="2"/>
  </w:num>
  <w:num w:numId="33">
    <w:abstractNumId w:val="16"/>
  </w:num>
  <w:num w:numId="34">
    <w:abstractNumId w:val="6"/>
  </w:num>
  <w:num w:numId="35">
    <w:abstractNumId w:val="3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5CF1"/>
    <w:rsid w:val="00096409"/>
    <w:rsid w:val="000A2AA1"/>
    <w:rsid w:val="000A7BDE"/>
    <w:rsid w:val="000B1A8E"/>
    <w:rsid w:val="000E23FD"/>
    <w:rsid w:val="000F4718"/>
    <w:rsid w:val="001027FC"/>
    <w:rsid w:val="001110C2"/>
    <w:rsid w:val="0011674C"/>
    <w:rsid w:val="0011719E"/>
    <w:rsid w:val="00122C28"/>
    <w:rsid w:val="001234F4"/>
    <w:rsid w:val="00132CA4"/>
    <w:rsid w:val="00140CD4"/>
    <w:rsid w:val="00156000"/>
    <w:rsid w:val="00160871"/>
    <w:rsid w:val="00172616"/>
    <w:rsid w:val="0017666C"/>
    <w:rsid w:val="00183059"/>
    <w:rsid w:val="0018639A"/>
    <w:rsid w:val="0019045B"/>
    <w:rsid w:val="001A4177"/>
    <w:rsid w:val="001C4931"/>
    <w:rsid w:val="001C4A2A"/>
    <w:rsid w:val="001D18BB"/>
    <w:rsid w:val="001D6275"/>
    <w:rsid w:val="001E06F9"/>
    <w:rsid w:val="001E6977"/>
    <w:rsid w:val="001F5429"/>
    <w:rsid w:val="002010A4"/>
    <w:rsid w:val="00204D5B"/>
    <w:rsid w:val="00210230"/>
    <w:rsid w:val="002232D9"/>
    <w:rsid w:val="00224DF7"/>
    <w:rsid w:val="00225FD1"/>
    <w:rsid w:val="00227A56"/>
    <w:rsid w:val="002347E5"/>
    <w:rsid w:val="002512F3"/>
    <w:rsid w:val="00262374"/>
    <w:rsid w:val="00262DA4"/>
    <w:rsid w:val="00282ADD"/>
    <w:rsid w:val="00290D60"/>
    <w:rsid w:val="00290F4A"/>
    <w:rsid w:val="0029653E"/>
    <w:rsid w:val="002A0897"/>
    <w:rsid w:val="002A09BD"/>
    <w:rsid w:val="002A4183"/>
    <w:rsid w:val="002A6143"/>
    <w:rsid w:val="002B16EA"/>
    <w:rsid w:val="002D117C"/>
    <w:rsid w:val="002E11B6"/>
    <w:rsid w:val="002F480D"/>
    <w:rsid w:val="00307A16"/>
    <w:rsid w:val="00311E4D"/>
    <w:rsid w:val="0031286C"/>
    <w:rsid w:val="00316B82"/>
    <w:rsid w:val="00322BBF"/>
    <w:rsid w:val="00327432"/>
    <w:rsid w:val="00390468"/>
    <w:rsid w:val="00395A18"/>
    <w:rsid w:val="003A1784"/>
    <w:rsid w:val="003A4353"/>
    <w:rsid w:val="003A74CD"/>
    <w:rsid w:val="003C70F9"/>
    <w:rsid w:val="003E02C8"/>
    <w:rsid w:val="003F01D2"/>
    <w:rsid w:val="003F30AA"/>
    <w:rsid w:val="00407980"/>
    <w:rsid w:val="00420F6D"/>
    <w:rsid w:val="00421776"/>
    <w:rsid w:val="00422D2B"/>
    <w:rsid w:val="004263F7"/>
    <w:rsid w:val="00436D20"/>
    <w:rsid w:val="00437571"/>
    <w:rsid w:val="00443FFF"/>
    <w:rsid w:val="00446597"/>
    <w:rsid w:val="004547F5"/>
    <w:rsid w:val="004601A2"/>
    <w:rsid w:val="004630F7"/>
    <w:rsid w:val="00472914"/>
    <w:rsid w:val="00472CC7"/>
    <w:rsid w:val="004753C3"/>
    <w:rsid w:val="00476B10"/>
    <w:rsid w:val="004919B6"/>
    <w:rsid w:val="004A03BC"/>
    <w:rsid w:val="004B2974"/>
    <w:rsid w:val="004B302E"/>
    <w:rsid w:val="004D595C"/>
    <w:rsid w:val="004E7C9C"/>
    <w:rsid w:val="004F16DA"/>
    <w:rsid w:val="004F35D2"/>
    <w:rsid w:val="004F4ABD"/>
    <w:rsid w:val="0050292C"/>
    <w:rsid w:val="0051049B"/>
    <w:rsid w:val="00511BDE"/>
    <w:rsid w:val="00512895"/>
    <w:rsid w:val="00523A4F"/>
    <w:rsid w:val="00535D66"/>
    <w:rsid w:val="00536FA5"/>
    <w:rsid w:val="00545636"/>
    <w:rsid w:val="00553532"/>
    <w:rsid w:val="005601BB"/>
    <w:rsid w:val="00561A1F"/>
    <w:rsid w:val="00563CA3"/>
    <w:rsid w:val="00570C83"/>
    <w:rsid w:val="0058130A"/>
    <w:rsid w:val="0059271B"/>
    <w:rsid w:val="00594422"/>
    <w:rsid w:val="005A2293"/>
    <w:rsid w:val="005A3678"/>
    <w:rsid w:val="005B2729"/>
    <w:rsid w:val="005B4285"/>
    <w:rsid w:val="005B5979"/>
    <w:rsid w:val="005C288B"/>
    <w:rsid w:val="005C7D1E"/>
    <w:rsid w:val="005D1637"/>
    <w:rsid w:val="005E3141"/>
    <w:rsid w:val="00606B8B"/>
    <w:rsid w:val="00622721"/>
    <w:rsid w:val="00624E53"/>
    <w:rsid w:val="006251B5"/>
    <w:rsid w:val="0063046B"/>
    <w:rsid w:val="00631E16"/>
    <w:rsid w:val="006432B0"/>
    <w:rsid w:val="00647615"/>
    <w:rsid w:val="00655F5A"/>
    <w:rsid w:val="006749EC"/>
    <w:rsid w:val="00677F23"/>
    <w:rsid w:val="00686047"/>
    <w:rsid w:val="00686CD4"/>
    <w:rsid w:val="00695CCB"/>
    <w:rsid w:val="006A2CAC"/>
    <w:rsid w:val="006A51DC"/>
    <w:rsid w:val="006A58CD"/>
    <w:rsid w:val="006B4A2B"/>
    <w:rsid w:val="006D38B7"/>
    <w:rsid w:val="006D4CD1"/>
    <w:rsid w:val="006E0CEC"/>
    <w:rsid w:val="006E1142"/>
    <w:rsid w:val="006F5CF2"/>
    <w:rsid w:val="007069E1"/>
    <w:rsid w:val="00714BC5"/>
    <w:rsid w:val="0071547E"/>
    <w:rsid w:val="00723C4C"/>
    <w:rsid w:val="00740B19"/>
    <w:rsid w:val="00747683"/>
    <w:rsid w:val="00756A23"/>
    <w:rsid w:val="007579A2"/>
    <w:rsid w:val="0076660D"/>
    <w:rsid w:val="007736BB"/>
    <w:rsid w:val="007838AC"/>
    <w:rsid w:val="007871BD"/>
    <w:rsid w:val="00797939"/>
    <w:rsid w:val="007A15B3"/>
    <w:rsid w:val="007A430C"/>
    <w:rsid w:val="007A787E"/>
    <w:rsid w:val="007B0977"/>
    <w:rsid w:val="007C0507"/>
    <w:rsid w:val="007C39F8"/>
    <w:rsid w:val="007D6B9A"/>
    <w:rsid w:val="007E0507"/>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9A5"/>
    <w:rsid w:val="008A335B"/>
    <w:rsid w:val="008A5454"/>
    <w:rsid w:val="008A670B"/>
    <w:rsid w:val="008B7BA5"/>
    <w:rsid w:val="008C041D"/>
    <w:rsid w:val="008C3113"/>
    <w:rsid w:val="008E12E9"/>
    <w:rsid w:val="008F22BA"/>
    <w:rsid w:val="008F6F85"/>
    <w:rsid w:val="009015A9"/>
    <w:rsid w:val="00905B49"/>
    <w:rsid w:val="00915471"/>
    <w:rsid w:val="00923CFE"/>
    <w:rsid w:val="00932048"/>
    <w:rsid w:val="009355A5"/>
    <w:rsid w:val="009408CB"/>
    <w:rsid w:val="009452C1"/>
    <w:rsid w:val="00947377"/>
    <w:rsid w:val="00947BB5"/>
    <w:rsid w:val="00980EE0"/>
    <w:rsid w:val="0098464D"/>
    <w:rsid w:val="009962B2"/>
    <w:rsid w:val="009973A1"/>
    <w:rsid w:val="009A2560"/>
    <w:rsid w:val="009A5DA5"/>
    <w:rsid w:val="009B1DF9"/>
    <w:rsid w:val="009B1F2E"/>
    <w:rsid w:val="009B3062"/>
    <w:rsid w:val="009C3461"/>
    <w:rsid w:val="009C5678"/>
    <w:rsid w:val="009C79F1"/>
    <w:rsid w:val="009D1E50"/>
    <w:rsid w:val="009D7E42"/>
    <w:rsid w:val="009F1A8D"/>
    <w:rsid w:val="009F3F8F"/>
    <w:rsid w:val="00A028D8"/>
    <w:rsid w:val="00A03E4B"/>
    <w:rsid w:val="00A34419"/>
    <w:rsid w:val="00A37703"/>
    <w:rsid w:val="00A40928"/>
    <w:rsid w:val="00A42D3B"/>
    <w:rsid w:val="00A51B85"/>
    <w:rsid w:val="00A52CFF"/>
    <w:rsid w:val="00A54461"/>
    <w:rsid w:val="00A559E1"/>
    <w:rsid w:val="00A56438"/>
    <w:rsid w:val="00A6343C"/>
    <w:rsid w:val="00A71DA6"/>
    <w:rsid w:val="00A73D0D"/>
    <w:rsid w:val="00A74298"/>
    <w:rsid w:val="00A76D8F"/>
    <w:rsid w:val="00A82BB2"/>
    <w:rsid w:val="00A8338A"/>
    <w:rsid w:val="00A956A2"/>
    <w:rsid w:val="00A9698A"/>
    <w:rsid w:val="00AA051F"/>
    <w:rsid w:val="00AA57E5"/>
    <w:rsid w:val="00AB022F"/>
    <w:rsid w:val="00AB4A92"/>
    <w:rsid w:val="00AC031E"/>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73030"/>
    <w:rsid w:val="00B91216"/>
    <w:rsid w:val="00B94420"/>
    <w:rsid w:val="00BB1780"/>
    <w:rsid w:val="00BC0557"/>
    <w:rsid w:val="00BD2B3D"/>
    <w:rsid w:val="00BD6D85"/>
    <w:rsid w:val="00BE2478"/>
    <w:rsid w:val="00BE2A3B"/>
    <w:rsid w:val="00BE4DC5"/>
    <w:rsid w:val="00C013C8"/>
    <w:rsid w:val="00C049D1"/>
    <w:rsid w:val="00C144FC"/>
    <w:rsid w:val="00C26A2D"/>
    <w:rsid w:val="00C305C2"/>
    <w:rsid w:val="00C31FF2"/>
    <w:rsid w:val="00C352D1"/>
    <w:rsid w:val="00C35EC9"/>
    <w:rsid w:val="00C412C7"/>
    <w:rsid w:val="00C51B72"/>
    <w:rsid w:val="00C5569D"/>
    <w:rsid w:val="00C65F81"/>
    <w:rsid w:val="00CA0AA3"/>
    <w:rsid w:val="00CA5F3B"/>
    <w:rsid w:val="00CB2B91"/>
    <w:rsid w:val="00CC051B"/>
    <w:rsid w:val="00CC7811"/>
    <w:rsid w:val="00CD6B1B"/>
    <w:rsid w:val="00CD7525"/>
    <w:rsid w:val="00CE1122"/>
    <w:rsid w:val="00CE577E"/>
    <w:rsid w:val="00CF0B12"/>
    <w:rsid w:val="00D03439"/>
    <w:rsid w:val="00D03C39"/>
    <w:rsid w:val="00D12DF2"/>
    <w:rsid w:val="00D1518D"/>
    <w:rsid w:val="00D22BB4"/>
    <w:rsid w:val="00D3245A"/>
    <w:rsid w:val="00D34D2E"/>
    <w:rsid w:val="00D435E6"/>
    <w:rsid w:val="00D562C7"/>
    <w:rsid w:val="00D715A7"/>
    <w:rsid w:val="00D71A65"/>
    <w:rsid w:val="00D71B94"/>
    <w:rsid w:val="00D817AF"/>
    <w:rsid w:val="00D92E2E"/>
    <w:rsid w:val="00DA4FAB"/>
    <w:rsid w:val="00DA5222"/>
    <w:rsid w:val="00DB2D42"/>
    <w:rsid w:val="00DC1F83"/>
    <w:rsid w:val="00DD2240"/>
    <w:rsid w:val="00DE619F"/>
    <w:rsid w:val="00DE6987"/>
    <w:rsid w:val="00DF790C"/>
    <w:rsid w:val="00E06FEF"/>
    <w:rsid w:val="00E10019"/>
    <w:rsid w:val="00E118B0"/>
    <w:rsid w:val="00E14C15"/>
    <w:rsid w:val="00E15ABB"/>
    <w:rsid w:val="00E23402"/>
    <w:rsid w:val="00E339F4"/>
    <w:rsid w:val="00E61E35"/>
    <w:rsid w:val="00E64289"/>
    <w:rsid w:val="00E64515"/>
    <w:rsid w:val="00E926B4"/>
    <w:rsid w:val="00E93218"/>
    <w:rsid w:val="00E96E5D"/>
    <w:rsid w:val="00EB013E"/>
    <w:rsid w:val="00EC7F7E"/>
    <w:rsid w:val="00ED5069"/>
    <w:rsid w:val="00EE3CC6"/>
    <w:rsid w:val="00EE40AD"/>
    <w:rsid w:val="00EF0257"/>
    <w:rsid w:val="00EF6EF2"/>
    <w:rsid w:val="00F04F5B"/>
    <w:rsid w:val="00F10BED"/>
    <w:rsid w:val="00F12B44"/>
    <w:rsid w:val="00F140EB"/>
    <w:rsid w:val="00F20722"/>
    <w:rsid w:val="00F43AB1"/>
    <w:rsid w:val="00F445AF"/>
    <w:rsid w:val="00F52ACA"/>
    <w:rsid w:val="00F5580C"/>
    <w:rsid w:val="00F66C98"/>
    <w:rsid w:val="00F74160"/>
    <w:rsid w:val="00F743E3"/>
    <w:rsid w:val="00F74466"/>
    <w:rsid w:val="00F92EC0"/>
    <w:rsid w:val="00F95D08"/>
    <w:rsid w:val="00FA0D39"/>
    <w:rsid w:val="00FA1B27"/>
    <w:rsid w:val="00FA5B50"/>
    <w:rsid w:val="00FB6004"/>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81351-0FA9-45DF-97A4-F63242CB1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Remaining open issues on channel occupancy ratio</vt:lpstr>
    </vt:vector>
  </TitlesOfParts>
  <Company>Guangdong OPPO Mobile Telecom</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channel occupancy ratio</dc:title>
  <dc:subject>NR-V2X</dc:subject>
  <dc:creator>Kevin.Lin@oppo.com</dc:creator>
  <cp:keywords>RAN1#100e</cp:keywords>
  <dc:description>Final version for submission</dc:description>
  <cp:lastModifiedBy>Kevin Lin</cp:lastModifiedBy>
  <cp:revision>2</cp:revision>
  <cp:lastPrinted>2020-02-08T03:10:00Z</cp:lastPrinted>
  <dcterms:created xsi:type="dcterms:W3CDTF">2020-02-14T07:23:00Z</dcterms:created>
  <dcterms:modified xsi:type="dcterms:W3CDTF">2020-02-14T07:23:00Z</dcterms:modified>
  <cp:category>QoS management</cp:category>
</cp:coreProperties>
</file>